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baseline"/>
        <w:rPr>
          <w:rStyle w:val="8"/>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pPr>
      <w:r>
        <w:rPr>
          <w:rStyle w:val="8"/>
          <w:rFonts w:hint="default" w:ascii="Times New Roman" w:hAnsi="Times New Roman" w:eastAsia="方正小标宋简体" w:cs="Times New Roman"/>
          <w:b w:val="0"/>
          <w:bCs w:val="0"/>
          <w:i w:val="0"/>
          <w:caps w:val="0"/>
          <w:color w:val="000000"/>
          <w:spacing w:val="0"/>
          <w:w w:val="100"/>
          <w:kern w:val="2"/>
          <w:sz w:val="44"/>
          <w:szCs w:val="44"/>
          <w:lang w:val="en-US" w:eastAsia="zh-CN" w:bidi="ar-SA"/>
        </w:rPr>
        <w:t>鹅湖镇2023年政府信息公开工作年度报告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default" w:ascii="Times New Roman" w:hAnsi="Times New Roman" w:eastAsia="宋体" w:cs="Times New Roman"/>
          <w:i w:val="0"/>
          <w:iCs w:val="0"/>
          <w:caps w:val="0"/>
          <w:color w:val="333333"/>
          <w:spacing w:val="0"/>
          <w:sz w:val="32"/>
          <w:szCs w:val="32"/>
          <w:u w:val="none"/>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报告依据《中华人民共和国政府信息公开条例》（国务院令第711号，以下简称新《条例》）和《国务院办公厅政府信息与政务公开办公室关于政府信息公开工作年度报告有关事项的通知》（国办公开办函〔2019〕60号）要求，由鹅湖镇人民政府结合有关统计数据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全文包括总体情况、主动公开政府信息情况、收到和处理政府信息公开申请情况、政府信息公开行政复议行政诉讼情况、存在的主要问题及改进情以及其他需要报告的事项。本年度报告中所列数据的统计期限自2023年1月1日起至2023年12月31日止。如对本报告有任何疑问，请与鹅湖镇党政办联系（地址：铅山县鹅湖镇江村村，电话：0793-5432826，邮编：334500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鹅湖镇坚持以习近平新时代中国特色社会主义思想为指导，紧紧围绕国务院和省政府、市政府、县政府关于政务公开的决策部署以及社会群众的关注焦点，将坚持以人民为中心的原则作为一切工作的出发点和落脚点，以政务公开的标准化和规范化建设为重要抓手，不断提高政务公开质量和水平，大力提升政府信息公开质量，有效搭建服务群众的桥梁，推进拓宽政府信息公开渠道，不断增强政府信息公开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1.决策公开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推进决策、执行和落实情况公开，提高社会参与度与关注度。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2.管理公开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推行权责清单、清单动态调整公开制度、行政执法公示制度，在行政审批、行政事项办理、取消的方面做到及时更新、及时办理。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3.服务公开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贯彻落实好《中华人民共和国政府信息公开条例》，切实做好政府信息公开工作，我镇高度重视，由党政办主任牵头政府信息公开工作，党政办公室专人具体报送政府信息公开内容，工作责任落实到单位、具体到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4.结果公开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政府工作报告及本年度规划1条、建议提案办理0条。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5.执行公开（重点领域信息公开）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年度财政预决算及时公开、建设工程项目招投标公告按照规定时间在政务信息公开网发布，做到及时公开，执行规范。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（二）依申请公开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2023年我镇未收到政府信息公开申请。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（三）政府信息管理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贯彻落实好《中华人民共和国政府信息公开条例》，健全政府信息公开工作机制，我镇由党政办主任牵头，党政办公室专人具体报送政府信息公开内容，工作责任落实到单位、具体到人员，严格审核公开内容，控制公开时限，遵循公开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（四）平台建设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依托上饶市政府网站集约化平台，利用电子化平台进行政务信息公开，同时设有公开栏，对相关内容进行纸质化公开，做到公开多样化。</w:t>
      </w:r>
    </w:p>
    <w:p>
      <w:pPr>
        <w:keepNext w:val="0"/>
        <w:keepLines w:val="0"/>
        <w:pageBreakBefore w:val="0"/>
        <w:kinsoku/>
        <w:wordWrap/>
        <w:overflowPunct/>
        <w:topLinePunct w:val="0"/>
        <w:autoSpaceDE/>
        <w:autoSpaceDN/>
        <w:bidi w:val="0"/>
        <w:adjustRightInd/>
        <w:snapToGrid/>
        <w:spacing w:line="560" w:lineRule="exact"/>
        <w:ind w:firstLine="643" w:firstLineChars="200"/>
        <w:jc w:val="both"/>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（五）监督保障（工作考核、社会评议和责任追究结果情况）</w:t>
      </w:r>
    </w:p>
    <w:p>
      <w:pPr>
        <w:keepNext w:val="0"/>
        <w:keepLines w:val="0"/>
        <w:pageBreakBefore w:val="0"/>
        <w:kinsoku/>
        <w:wordWrap/>
        <w:overflowPunct/>
        <w:topLinePunct w:val="0"/>
        <w:autoSpaceDE/>
        <w:autoSpaceDN/>
        <w:bidi w:val="0"/>
        <w:adjustRightInd/>
        <w:snapToGrid/>
        <w:spacing w:line="560" w:lineRule="exact"/>
        <w:ind w:firstLine="560"/>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为切实做好政务信息公开工作，我镇成立政务公开工作领导小组，对此项工作进行自查和考评，通过工作考核、社会评议和责任追究制度，强化监督检查。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二、主动公开政府信息情况</w:t>
      </w:r>
    </w:p>
    <w:tbl>
      <w:tblPr>
        <w:tblStyle w:val="6"/>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300"/>
        <w:gridCol w:w="2300"/>
        <w:gridCol w:w="2300"/>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9635" w:type="dxa"/>
            <w:gridSpan w:val="4"/>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信息内容</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本年制发件数</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本年废止件数</w:t>
            </w:r>
          </w:p>
        </w:tc>
        <w:tc>
          <w:tcPr>
            <w:tcW w:w="2735"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2"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规章</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2735"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行政规范性文件</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2735"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9635" w:type="dxa"/>
            <w:gridSpan w:val="4"/>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信息内容</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行政许可</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9635" w:type="dxa"/>
            <w:gridSpan w:val="4"/>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信息内容</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行政处罚</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行政强制</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9635" w:type="dxa"/>
            <w:gridSpan w:val="4"/>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信息内容</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行政事业性收费</w:t>
            </w:r>
          </w:p>
        </w:tc>
        <w:tc>
          <w:tcPr>
            <w:tcW w:w="7335"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bl>
    <w:p>
      <w:pP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p>
    <w:p>
      <w:pPr>
        <w:ind w:firstLine="640" w:firstLineChars="200"/>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三、收到和处理政府信息公开申请情况</w:t>
      </w:r>
    </w:p>
    <w:tbl>
      <w:tblPr>
        <w:tblStyle w:val="6"/>
        <w:tblW w:w="969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78"/>
        <w:gridCol w:w="1027"/>
        <w:gridCol w:w="1888"/>
        <w:gridCol w:w="1227"/>
        <w:gridCol w:w="791"/>
        <w:gridCol w:w="687"/>
        <w:gridCol w:w="715"/>
        <w:gridCol w:w="739"/>
        <w:gridCol w:w="809"/>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3993" w:type="dxa"/>
            <w:gridSpan w:val="3"/>
            <w:vMerge w:val="restart"/>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（本列数据的勾稽关系为：第一项加第二项之和，等于第三项加第四项之和）</w:t>
            </w:r>
          </w:p>
        </w:tc>
        <w:tc>
          <w:tcPr>
            <w:tcW w:w="5700" w:type="dxa"/>
            <w:gridSpan w:val="7"/>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1" w:hRule="atLeast"/>
        </w:trPr>
        <w:tc>
          <w:tcPr>
            <w:tcW w:w="3993" w:type="dxa"/>
            <w:gridSpan w:val="3"/>
            <w:vMerge w:val="continue"/>
            <w:vAlign w:val="center"/>
          </w:tcPr>
          <w:p>
            <w:pPr>
              <w:keepNext w:val="0"/>
              <w:keepLines w:val="0"/>
              <w:pageBreakBefore w:val="0"/>
              <w:kinsoku/>
              <w:wordWrap/>
              <w:overflowPunct/>
              <w:topLinePunct w:val="0"/>
              <w:autoSpaceDE/>
              <w:autoSpaceDN/>
              <w:bidi w:val="0"/>
              <w:adjustRightInd/>
              <w:snapToGrid w:val="0"/>
              <w:spacing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227" w:type="dxa"/>
            <w:vMerge w:val="restart"/>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自然人</w:t>
            </w:r>
          </w:p>
        </w:tc>
        <w:tc>
          <w:tcPr>
            <w:tcW w:w="3741" w:type="dxa"/>
            <w:gridSpan w:val="5"/>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法人或其他组织</w:t>
            </w:r>
          </w:p>
        </w:tc>
        <w:tc>
          <w:tcPr>
            <w:tcW w:w="732" w:type="dxa"/>
            <w:vMerge w:val="restart"/>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0" w:hRule="atLeast"/>
        </w:trPr>
        <w:tc>
          <w:tcPr>
            <w:tcW w:w="3993" w:type="dxa"/>
            <w:gridSpan w:val="3"/>
            <w:vMerge w:val="continue"/>
            <w:vAlign w:val="center"/>
          </w:tcPr>
          <w:p>
            <w:pPr>
              <w:keepNext w:val="0"/>
              <w:keepLines w:val="0"/>
              <w:pageBreakBefore w:val="0"/>
              <w:kinsoku/>
              <w:wordWrap/>
              <w:overflowPunct/>
              <w:topLinePunct w:val="0"/>
              <w:autoSpaceDE/>
              <w:autoSpaceDN/>
              <w:bidi w:val="0"/>
              <w:adjustRightInd/>
              <w:snapToGrid w:val="0"/>
              <w:spacing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227" w:type="dxa"/>
            <w:vMerge w:val="continue"/>
            <w:vAlign w:val="center"/>
          </w:tcPr>
          <w:p>
            <w:pPr>
              <w:keepNext w:val="0"/>
              <w:keepLines w:val="0"/>
              <w:pageBreakBefore w:val="0"/>
              <w:kinsoku/>
              <w:wordWrap/>
              <w:overflowPunct/>
              <w:topLinePunct w:val="0"/>
              <w:autoSpaceDE/>
              <w:autoSpaceDN/>
              <w:bidi w:val="0"/>
              <w:adjustRightInd/>
              <w:snapToGrid w:val="0"/>
              <w:spacing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791"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商业企业</w:t>
            </w:r>
          </w:p>
        </w:tc>
        <w:tc>
          <w:tcPr>
            <w:tcW w:w="687"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科研机构</w:t>
            </w:r>
          </w:p>
        </w:tc>
        <w:tc>
          <w:tcPr>
            <w:tcW w:w="715"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社会公益组织</w:t>
            </w:r>
          </w:p>
        </w:tc>
        <w:tc>
          <w:tcPr>
            <w:tcW w:w="739"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法律服务机构</w:t>
            </w:r>
          </w:p>
        </w:tc>
        <w:tc>
          <w:tcPr>
            <w:tcW w:w="809"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其他</w:t>
            </w:r>
          </w:p>
        </w:tc>
        <w:tc>
          <w:tcPr>
            <w:tcW w:w="732" w:type="dxa"/>
            <w:vMerge w:val="continue"/>
            <w:vAlign w:val="center"/>
          </w:tcPr>
          <w:p>
            <w:pPr>
              <w:keepNext w:val="0"/>
              <w:keepLines w:val="0"/>
              <w:pageBreakBefore w:val="0"/>
              <w:kinsoku/>
              <w:wordWrap/>
              <w:overflowPunct/>
              <w:topLinePunct w:val="0"/>
              <w:autoSpaceDE/>
              <w:autoSpaceDN/>
              <w:bidi w:val="0"/>
              <w:adjustRightInd/>
              <w:snapToGrid w:val="0"/>
              <w:spacing w:line="560" w:lineRule="exact"/>
              <w:ind w:firstLine="560"/>
              <w:jc w:val="center"/>
              <w:rPr>
                <w:rFonts w:hint="default" w:ascii="Times New Roman" w:hAnsi="Times New Roman" w:eastAsia="仿宋_GB2312" w:cs="Times New Roman"/>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3993" w:type="dxa"/>
            <w:gridSpan w:val="3"/>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一、本年新收政府信息公开申请数量</w:t>
            </w:r>
          </w:p>
        </w:tc>
        <w:tc>
          <w:tcPr>
            <w:tcW w:w="1227"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91"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87"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15"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39"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809"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32" w:type="dxa"/>
            <w:vAlign w:val="center"/>
          </w:tcPr>
          <w:p>
            <w:pPr>
              <w:keepNext w:val="0"/>
              <w:keepLines w:val="0"/>
              <w:pageBreakBefore w:val="0"/>
              <w:kinsoku/>
              <w:wordWrap/>
              <w:overflowPunct/>
              <w:topLinePunct w:val="0"/>
              <w:autoSpaceDE/>
              <w:autoSpaceDN/>
              <w:bidi w:val="0"/>
              <w:adjustRightInd/>
              <w:snapToGrid w:val="0"/>
              <w:spacing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3993"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二、上年结转政府信息公开申请数量</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三、本年度办理结果</w:t>
            </w:r>
          </w:p>
        </w:tc>
        <w:tc>
          <w:tcPr>
            <w:tcW w:w="2915" w:type="dxa"/>
            <w:gridSpan w:val="2"/>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（一）予以公开</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2915" w:type="dxa"/>
            <w:gridSpan w:val="2"/>
            <w:vAlign w:val="center"/>
          </w:tcPr>
          <w:p>
            <w:pPr>
              <w:keepNext w:val="0"/>
              <w:keepLines w:val="0"/>
              <w:pageBreakBefore w:val="0"/>
              <w:numPr>
                <w:ilvl w:val="0"/>
                <w:numId w:val="1"/>
              </w:numPr>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部分公开</w:t>
            </w:r>
          </w:p>
          <w:p>
            <w:pPr>
              <w:keepNext w:val="0"/>
              <w:keepLines w:val="0"/>
              <w:pageBreakBefore w:val="0"/>
              <w:numPr>
                <w:ilvl w:val="0"/>
                <w:numId w:val="0"/>
              </w:numPr>
              <w:kinsoku/>
              <w:wordWrap/>
              <w:overflowPunct/>
              <w:topLinePunct w:val="0"/>
              <w:autoSpaceDE/>
              <w:autoSpaceDN/>
              <w:bidi w:val="0"/>
              <w:adjustRightInd/>
              <w:snapToGrid/>
              <w:spacing w:after="220" w:line="560" w:lineRule="exact"/>
              <w:jc w:val="both"/>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（区分处理的，只计这一情形，不计其他情形）</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（三）不予</w:t>
            </w: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公开</w:t>
            </w: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1．属于国家秘密</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2．其他法律行政法规禁止公开</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3．危及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三安全一稳定</w:t>
            </w:r>
            <w:r>
              <w:rPr>
                <w:rFonts w:hint="eastAsia" w:ascii="Times New Roman" w:hAnsi="Times New Roman" w:eastAsia="仿宋_GB2312" w:cs="Times New Roman"/>
                <w:kern w:val="2"/>
                <w:sz w:val="32"/>
                <w:szCs w:val="32"/>
                <w:lang w:val="en-US" w:eastAsia="zh-CN" w:bidi="ar-SA"/>
              </w:rPr>
              <w:t>”</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4．保护第三方合法权益</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5．属于三类内部事务信息</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6．属于四类过程性信息</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7．属于行政执法案卷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8．属于行政查询事项</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（四）无法</w:t>
            </w: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提供</w:t>
            </w: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1．本机关不掌握相关政府信息</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2．没有现成信息需要另行制作</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3．补正后申请内容仍不明确</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（五）不予</w:t>
            </w: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处理</w:t>
            </w: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1．信访举报投诉类申请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2．重复申请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3．要求提供公开出版物</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4．无正当理由大量反复申请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5．要求行政机关确认或重新出具已获取信息</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（六）其他</w:t>
            </w:r>
          </w:p>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处理</w:t>
            </w: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1．申请人无正当理由逾期不补正、行政机关不再处理其政府信息公开申请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2．申请人逾期未按收费通知要求缴纳费用、行政机关不再处理其政府信息公开申请</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02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188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3．其他</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7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ind w:firstLine="560"/>
              <w:jc w:val="center"/>
              <w:rPr>
                <w:rFonts w:hint="default" w:ascii="Times New Roman" w:hAnsi="Times New Roman" w:eastAsia="仿宋_GB2312" w:cs="Times New Roman"/>
                <w:kern w:val="2"/>
                <w:sz w:val="32"/>
                <w:szCs w:val="32"/>
                <w:lang w:val="en-US" w:eastAsia="zh-CN" w:bidi="ar-SA"/>
              </w:rPr>
            </w:pPr>
          </w:p>
        </w:tc>
        <w:tc>
          <w:tcPr>
            <w:tcW w:w="2915" w:type="dxa"/>
            <w:gridSpan w:val="2"/>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（七）总计</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trPr>
        <w:tc>
          <w:tcPr>
            <w:tcW w:w="3993" w:type="dxa"/>
            <w:gridSpan w:val="3"/>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四、结转下年度继续办理</w:t>
            </w:r>
          </w:p>
        </w:tc>
        <w:tc>
          <w:tcPr>
            <w:tcW w:w="122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91"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687"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15"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809"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c>
          <w:tcPr>
            <w:tcW w:w="732" w:type="dxa"/>
            <w:vAlign w:val="center"/>
          </w:tcPr>
          <w:p>
            <w:pPr>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Autospacing="0" w:line="560" w:lineRule="exact"/>
        <w:ind w:left="640" w:leftChars="0" w:right="0" w:rightChars="0"/>
        <w:jc w:val="both"/>
        <w:textAlignment w:val="baseline"/>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Autospacing="0" w:line="560" w:lineRule="exact"/>
        <w:ind w:left="640" w:leftChars="0" w:right="0" w:rightChars="0"/>
        <w:jc w:val="both"/>
        <w:textAlignment w:val="baseline"/>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四、政府信息公开行政复议、行政诉讼情况</w:t>
      </w:r>
    </w:p>
    <w:tbl>
      <w:tblPr>
        <w:tblStyle w:val="6"/>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04"/>
        <w:gridCol w:w="723"/>
        <w:gridCol w:w="668"/>
        <w:gridCol w:w="691"/>
        <w:gridCol w:w="387"/>
        <w:gridCol w:w="695"/>
        <w:gridCol w:w="736"/>
        <w:gridCol w:w="709"/>
        <w:gridCol w:w="669"/>
        <w:gridCol w:w="440"/>
        <w:gridCol w:w="801"/>
        <w:gridCol w:w="736"/>
        <w:gridCol w:w="709"/>
        <w:gridCol w:w="668"/>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3173" w:type="dxa"/>
            <w:gridSpan w:val="5"/>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行政复议</w:t>
            </w:r>
          </w:p>
        </w:tc>
        <w:tc>
          <w:tcPr>
            <w:tcW w:w="6572" w:type="dxa"/>
            <w:gridSpan w:val="10"/>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8" w:hRule="atLeast"/>
        </w:trPr>
        <w:tc>
          <w:tcPr>
            <w:tcW w:w="704"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结果维持</w:t>
            </w:r>
          </w:p>
        </w:tc>
        <w:tc>
          <w:tcPr>
            <w:tcW w:w="723"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结果纠正</w:t>
            </w:r>
          </w:p>
        </w:tc>
        <w:tc>
          <w:tcPr>
            <w:tcW w:w="668"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其他结果</w:t>
            </w:r>
          </w:p>
        </w:tc>
        <w:tc>
          <w:tcPr>
            <w:tcW w:w="691"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尚未审结</w:t>
            </w:r>
          </w:p>
        </w:tc>
        <w:tc>
          <w:tcPr>
            <w:tcW w:w="387" w:type="dxa"/>
            <w:vMerge w:val="restart"/>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总计</w:t>
            </w:r>
          </w:p>
        </w:tc>
        <w:tc>
          <w:tcPr>
            <w:tcW w:w="3249" w:type="dxa"/>
            <w:gridSpan w:val="5"/>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未经复议直接起诉</w:t>
            </w:r>
          </w:p>
        </w:tc>
        <w:tc>
          <w:tcPr>
            <w:tcW w:w="3323" w:type="dxa"/>
            <w:gridSpan w:val="5"/>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trPr>
        <w:tc>
          <w:tcPr>
            <w:tcW w:w="704"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tc>
        <w:tc>
          <w:tcPr>
            <w:tcW w:w="723"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tc>
        <w:tc>
          <w:tcPr>
            <w:tcW w:w="668"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tc>
        <w:tc>
          <w:tcPr>
            <w:tcW w:w="691"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tc>
        <w:tc>
          <w:tcPr>
            <w:tcW w:w="387" w:type="dxa"/>
            <w:vMerge w:val="continue"/>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p>
        </w:tc>
        <w:tc>
          <w:tcPr>
            <w:tcW w:w="695"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结果维持</w:t>
            </w:r>
          </w:p>
        </w:tc>
        <w:tc>
          <w:tcPr>
            <w:tcW w:w="736"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其他结果</w:t>
            </w:r>
          </w:p>
        </w:tc>
        <w:tc>
          <w:tcPr>
            <w:tcW w:w="66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尚未审结</w:t>
            </w:r>
          </w:p>
        </w:tc>
        <w:tc>
          <w:tcPr>
            <w:tcW w:w="44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总计</w:t>
            </w:r>
          </w:p>
        </w:tc>
        <w:tc>
          <w:tcPr>
            <w:tcW w:w="801"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结果维持</w:t>
            </w:r>
          </w:p>
        </w:tc>
        <w:tc>
          <w:tcPr>
            <w:tcW w:w="736"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其他结果</w:t>
            </w:r>
          </w:p>
        </w:tc>
        <w:tc>
          <w:tcPr>
            <w:tcW w:w="66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尚未审结</w:t>
            </w:r>
          </w:p>
        </w:tc>
        <w:tc>
          <w:tcPr>
            <w:tcW w:w="4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29" w:hRule="atLeast"/>
        </w:trPr>
        <w:tc>
          <w:tcPr>
            <w:tcW w:w="704"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23"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6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91"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387"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95"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36"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6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440"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801"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36"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7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668"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c>
          <w:tcPr>
            <w:tcW w:w="409" w:type="dxa"/>
            <w:vAlign w:val="center"/>
          </w:tcPr>
          <w:p>
            <w:pPr>
              <w:keepNext w:val="0"/>
              <w:keepLines w:val="0"/>
              <w:pageBreakBefore w:val="0"/>
              <w:kinsoku/>
              <w:wordWrap/>
              <w:overflowPunct/>
              <w:topLinePunct w:val="0"/>
              <w:autoSpaceDE/>
              <w:autoSpaceDN/>
              <w:bidi w:val="0"/>
              <w:adjustRightInd/>
              <w:snapToGrid/>
              <w:spacing w:after="22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Autospacing="0" w:line="560" w:lineRule="exact"/>
        <w:ind w:right="0" w:rightChars="0" w:firstLine="640" w:firstLineChars="200"/>
        <w:jc w:val="both"/>
        <w:textAlignment w:val="baseline"/>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五、存在的主要问题及改进情况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（一）2023年政府信息公开工作中存在的主要问题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1.信息公开的信息工作多，日常事项公开时效性需进一步提高；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2.政府日常事务繁杂，人员紧缺，负责政务公开同志身兼多职，导致对要求发布的信息谋划不及时、思考不细致。</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1.及时更新政府信息，坚持及时、高效、依法公开；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2.进一步规范信息公开工作制度，做到职责明确、措施得当、运作规范、确保工作有序、高效进行。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pPr>
      <w:r>
        <w:rPr>
          <w:rStyle w:val="8"/>
          <w:rFonts w:hint="default" w:ascii="Times New Roman" w:hAnsi="Times New Roman" w:eastAsia="黑体" w:cs="Times New Roman"/>
          <w:b w:val="0"/>
          <w:bCs w:val="0"/>
          <w:i w:val="0"/>
          <w:caps w:val="0"/>
          <w:color w:val="000000"/>
          <w:spacing w:val="0"/>
          <w:w w:val="100"/>
          <w:kern w:val="2"/>
          <w:sz w:val="32"/>
          <w:szCs w:val="32"/>
          <w:lang w:val="en-US" w:eastAsia="zh-CN" w:bidi="ar-SA"/>
        </w:rPr>
        <w:t>六、其他需要报告的事项</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（一）2023年度政务公开工作要点完成情况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2023年以来，鹅湖镇坚持严格按照《铅山县人民政府办公室关于印发&lt;2023年铅山县政务公开工作任务分解表&gt;的通知铅府办明〔2023〕6号</w:t>
      </w:r>
      <w:r>
        <w:rPr>
          <w:rFonts w:hint="eastAsia" w:ascii="Times New Roman" w:hAnsi="Times New Roman" w:eastAsia="仿宋_GB2312" w:cs="Times New Roman"/>
          <w:kern w:val="2"/>
          <w:sz w:val="32"/>
          <w:szCs w:val="32"/>
          <w:lang w:val="en-US" w:eastAsia="zh-CN" w:bidi="ar-SA"/>
        </w:rPr>
        <w:t>》</w:t>
      </w:r>
      <w:bookmarkStart w:id="0" w:name="_GoBack"/>
      <w:bookmarkEnd w:id="0"/>
      <w:r>
        <w:rPr>
          <w:rFonts w:hint="default" w:ascii="Times New Roman" w:hAnsi="Times New Roman" w:eastAsia="仿宋_GB2312" w:cs="Times New Roman"/>
          <w:kern w:val="2"/>
          <w:sz w:val="32"/>
          <w:szCs w:val="32"/>
          <w:lang w:val="en-US" w:eastAsia="zh-CN" w:bidi="ar-SA"/>
        </w:rPr>
        <w:t>要求狠抓工作落实。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一是强化组织领导，筑牢工作根基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始终将政务公开工作视为重中之重，建立健全领导机制，明确由主要领导亲自挂帅，全面指导政务公开工作，确保工作的方向和重点得以明确；分管领导负责具体工作的组织和实施，从细节处着手，确保每项任务都能得到妥善处理。同时，配备政务公开工作专员，负责政务公开的日常事务和监督执行及信息收集、整理和发布等工作，确保政务信息公开准确及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二是聚集各方力量，简化服务流程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坚持以群众急、难、愁盼的问题作为工作导向，依托综合社会治理中心、便民服务中心及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E呼即办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工作小组，积极推行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马上办、网上办、就近办、一次办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的工作要求，不断健全完善相关服务群众功能。同时，充分利用线上平台，合理布局服务点，优化办事流程，减少重复环节，力求实现群众办事</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最多跑一次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三是坚持透明公开，满足群众需求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始终将群众的利益放在首位，高度重视群众最关心、最想了解的事项和社会最关注的热点难点问题，充分利用政府门户网站和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公开平台等渠道，主动公开工作动态、财政预决算、基层政务公开标准化目录等重点领域的相关信息，进一步增强政务信息透明度。</w:t>
      </w:r>
    </w:p>
    <w:p>
      <w:pPr>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baseline"/>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pPr>
      <w:r>
        <w:rPr>
          <w:rStyle w:val="8"/>
          <w:rFonts w:hint="default" w:ascii="Times New Roman" w:hAnsi="Times New Roman" w:eastAsia="楷体_GB2312" w:cs="Times New Roman"/>
          <w:b/>
          <w:bCs/>
          <w:i w:val="0"/>
          <w:caps w:val="0"/>
          <w:color w:val="000000"/>
          <w:spacing w:val="0"/>
          <w:w w:val="100"/>
          <w:kern w:val="2"/>
          <w:sz w:val="32"/>
          <w:szCs w:val="32"/>
          <w:lang w:val="en-US" w:eastAsia="zh-CN" w:bidi="ar-SA"/>
        </w:rPr>
        <w:t>（二）2023年度我镇无收取信息处理费的情况。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sectPr>
      <w:footerReference r:id="rId3" w:type="default"/>
      <w:pgSz w:w="11900" w:h="16840"/>
      <w:pgMar w:top="1417" w:right="1417" w:bottom="1417" w:left="1417" w:header="0" w:footer="1440" w:gutter="0"/>
      <w:pgNumType w:fmt="decimal"/>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900EAB-18A7-4B3D-B0CF-B012966EC2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B7253A4E-4875-46FA-9D6F-688C1018FDBF}"/>
  </w:font>
  <w:font w:name="仿宋_GB2312">
    <w:altName w:val="仿宋"/>
    <w:panose1 w:val="02010609030101010101"/>
    <w:charset w:val="86"/>
    <w:family w:val="auto"/>
    <w:pitch w:val="default"/>
    <w:sig w:usb0="00000000" w:usb1="00000000" w:usb2="00000000" w:usb3="00000000" w:csb0="00040000" w:csb1="00000000"/>
    <w:embedRegular r:id="rId3" w:fontKey="{9035C2B5-29D4-4EA0-946A-DAB9953518E3}"/>
  </w:font>
  <w:font w:name="楷体_GB2312">
    <w:altName w:val="楷体"/>
    <w:panose1 w:val="02010609030101010101"/>
    <w:charset w:val="86"/>
    <w:family w:val="auto"/>
    <w:pitch w:val="default"/>
    <w:sig w:usb0="00000000" w:usb1="00000000" w:usb2="00000000" w:usb3="00000000" w:csb0="00040000" w:csb1="00000000"/>
    <w:embedRegular r:id="rId4" w:fontKey="{F4DE94D8-0C69-4D48-AA18-9113E9D8C23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8D9541"/>
    <w:multiLevelType w:val="singleLevel"/>
    <w:tmpl w:val="688D95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zk1NmU1OGJhNWRlZjQwYzU0ODRhYTc2OTQ2MjMifQ=="/>
  </w:docVars>
  <w:rsids>
    <w:rsidRoot w:val="00000000"/>
    <w:rsid w:val="0159301C"/>
    <w:rsid w:val="0DF72705"/>
    <w:rsid w:val="115A6341"/>
    <w:rsid w:val="141C038E"/>
    <w:rsid w:val="16197E6B"/>
    <w:rsid w:val="168D4E6F"/>
    <w:rsid w:val="1AAF1372"/>
    <w:rsid w:val="1AC042A5"/>
    <w:rsid w:val="1BF53DBA"/>
    <w:rsid w:val="234F4ED7"/>
    <w:rsid w:val="44841371"/>
    <w:rsid w:val="4B565CA5"/>
    <w:rsid w:val="647629E6"/>
    <w:rsid w:val="76C94F71"/>
    <w:rsid w:val="77C81143"/>
    <w:rsid w:val="7BDB529D"/>
    <w:rsid w:val="7C2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autoRedefine/>
    <w:qFormat/>
    <w:uiPriority w:val="0"/>
    <w:pPr>
      <w:widowControl w:val="0"/>
      <w:jc w:val="both"/>
    </w:pPr>
    <w:rPr>
      <w:rFonts w:asciiTheme="minorHAnsi" w:hAnsiTheme="minorHAnsi" w:eastAsiaTheme="minorEastAsia" w:cstheme="minorBidi"/>
      <w:sz w:val="21"/>
      <w:szCs w:val="22"/>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bCs/>
      <w:kern w:val="0"/>
      <w:sz w:val="27"/>
      <w:szCs w:val="27"/>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next w:val="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link w:val="1"/>
    <w:autoRedefine/>
    <w:semiHidden/>
    <w:qFormat/>
    <w:uiPriority w:val="0"/>
    <w:rPr>
      <w:rFonts w:asciiTheme="minorHAnsi" w:hAnsiTheme="minorHAnsi" w:eastAsiaTheme="minorEastAsia" w:cstheme="minorBidi"/>
      <w:sz w:val="21"/>
      <w:szCs w:val="22"/>
    </w:rPr>
  </w:style>
  <w:style w:type="paragraph" w:customStyle="1" w:styleId="9">
    <w:name w:val="PlainText"/>
    <w:basedOn w:val="1"/>
    <w:next w:val="4"/>
    <w:autoRedefine/>
    <w:qFormat/>
    <w:uiPriority w:val="0"/>
    <w:pPr>
      <w:jc w:val="both"/>
      <w:textAlignment w:val="baseline"/>
    </w:pPr>
    <w:rPr>
      <w:rFonts w:ascii="Calibri" w:hAnsi="Courier New"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2022-01-20T00:56:00Z</dcterms:created>
  <dc:creator>Administrator</dc:creator>
  <cp:lastModifiedBy>双木成林</cp:lastModifiedBy>
  <dcterms:modified xsi:type="dcterms:W3CDTF">2024-01-25T08:09:03Z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E0BAF9A7348C4AB4B233502C01E5D84D_13</vt:lpwstr>
  </property>
</Properties>
</file>