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bookmarkStart w:id="86" w:name="_GoBack"/>
      <w:bookmarkEnd w:id="86"/>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r>
        <w:rPr>
          <w:rFonts w:hint="eastAsia" w:ascii="黑体" w:hAnsi="宋体" w:eastAsia="黑体" w:cs="黑体"/>
          <w:b/>
          <w:color w:val="333333"/>
          <w:kern w:val="2"/>
          <w:sz w:val="72"/>
          <w:szCs w:val="72"/>
          <w:shd w:val="clear" w:fill="FFFFFF"/>
        </w:rPr>
        <w:t>铅山县人民政府公报</w:t>
      </w: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rPr>
          <w:rFonts w:hint="eastAsia" w:ascii="黑体" w:hAnsi="宋体" w:eastAsia="黑体" w:cs="Times New Roman"/>
          <w:b/>
          <w:color w:val="333333"/>
          <w:kern w:val="2"/>
          <w:sz w:val="44"/>
          <w:szCs w:val="44"/>
          <w:shd w:val="clear" w:fill="FFFFFF"/>
          <w:lang w:val="en-US" w:eastAsia="zh-CN"/>
        </w:rPr>
      </w:pPr>
      <w:r>
        <w:rPr>
          <w:rFonts w:hint="eastAsia" w:ascii="黑体" w:hAnsi="宋体" w:eastAsia="黑体" w:cs="Times New Roman"/>
          <w:b/>
          <w:color w:val="333333"/>
          <w:kern w:val="2"/>
          <w:sz w:val="44"/>
          <w:szCs w:val="44"/>
          <w:shd w:val="clear" w:fill="FFFFFF"/>
        </w:rPr>
        <w:t>20</w:t>
      </w:r>
      <w:r>
        <w:rPr>
          <w:rFonts w:hint="eastAsia" w:ascii="黑体" w:hAnsi="宋体" w:eastAsia="黑体" w:cs="Times New Roman"/>
          <w:b/>
          <w:color w:val="333333"/>
          <w:kern w:val="2"/>
          <w:sz w:val="44"/>
          <w:szCs w:val="44"/>
          <w:shd w:val="clear" w:fill="FFFFFF"/>
          <w:lang w:val="en-US" w:eastAsia="zh-CN"/>
        </w:rPr>
        <w:t>23</w:t>
      </w:r>
    </w:p>
    <w:p>
      <w:pPr>
        <w:pStyle w:val="19"/>
        <w:keepNext w:val="0"/>
        <w:keepLines w:val="0"/>
        <w:widowControl/>
        <w:suppressLineNumbers w:val="0"/>
        <w:spacing w:before="0" w:beforeAutospacing="1" w:after="0" w:afterAutospacing="1" w:line="23" w:lineRule="atLeast"/>
        <w:ind w:left="0" w:right="0"/>
        <w:jc w:val="center"/>
        <w:rPr>
          <w:rFonts w:hint="default" w:ascii="黑体" w:hAnsi="宋体" w:eastAsia="黑体" w:cs="Times New Roman"/>
          <w:b/>
          <w:color w:val="333333"/>
          <w:kern w:val="2"/>
          <w:sz w:val="44"/>
          <w:szCs w:val="44"/>
          <w:shd w:val="clear" w:fill="FFFFFF"/>
          <w:lang w:val="en-US" w:eastAsia="zh-CN"/>
        </w:rPr>
      </w:pPr>
    </w:p>
    <w:p>
      <w:pPr>
        <w:pStyle w:val="19"/>
        <w:keepNext w:val="0"/>
        <w:keepLines w:val="0"/>
        <w:widowControl/>
        <w:suppressLineNumbers w:val="0"/>
        <w:spacing w:before="0" w:beforeAutospacing="1" w:after="0" w:afterAutospacing="1" w:line="23" w:lineRule="atLeast"/>
        <w:ind w:left="0" w:right="0"/>
        <w:jc w:val="center"/>
      </w:pPr>
      <w:r>
        <w:rPr>
          <w:rFonts w:hint="eastAsia" w:ascii="黑体" w:hAnsi="宋体" w:eastAsia="黑体" w:cs="黑体"/>
          <w:b/>
          <w:color w:val="333333"/>
          <w:kern w:val="2"/>
          <w:sz w:val="44"/>
          <w:szCs w:val="44"/>
          <w:shd w:val="clear" w:fill="FFFFFF"/>
        </w:rPr>
        <w:t>（年刊）</w:t>
      </w: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p>
    <w:p>
      <w:pPr>
        <w:pStyle w:val="19"/>
        <w:keepNext w:val="0"/>
        <w:keepLines w:val="0"/>
        <w:widowControl/>
        <w:suppressLineNumbers w:val="0"/>
        <w:spacing w:before="0" w:beforeAutospacing="1" w:after="0" w:afterAutospacing="1" w:line="23" w:lineRule="atLeast"/>
        <w:ind w:left="0" w:right="0"/>
        <w:jc w:val="center"/>
      </w:pPr>
      <w:r>
        <w:rPr>
          <w:rFonts w:hint="eastAsia" w:ascii="黑体" w:hAnsi="宋体" w:eastAsia="黑体" w:cs="黑体"/>
          <w:b/>
          <w:color w:val="333333"/>
          <w:kern w:val="2"/>
          <w:sz w:val="44"/>
          <w:szCs w:val="44"/>
          <w:shd w:val="clear" w:fill="FFFFFF"/>
        </w:rPr>
        <w:t>目录</w:t>
      </w:r>
    </w:p>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ascii="楷体" w:hAnsi="楷体" w:eastAsia="楷体" w:cs="楷体"/>
          <w:b/>
          <w:color w:val="333333"/>
          <w:kern w:val="2"/>
          <w:sz w:val="32"/>
          <w:szCs w:val="32"/>
          <w:shd w:val="clear" w:fill="FFFFFF"/>
        </w:rPr>
      </w:pPr>
    </w:p>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color w:val="auto"/>
        </w:rPr>
      </w:pPr>
      <w:r>
        <w:rPr>
          <w:rFonts w:ascii="楷体" w:hAnsi="楷体" w:eastAsia="楷体" w:cs="楷体"/>
          <w:b/>
          <w:color w:val="auto"/>
          <w:kern w:val="2"/>
          <w:sz w:val="32"/>
          <w:szCs w:val="32"/>
          <w:shd w:val="clear" w:fill="FFFFFF"/>
        </w:rPr>
        <w:t>县政府规范性文件</w:t>
      </w:r>
    </w:p>
    <w:p>
      <w:pPr>
        <w:pStyle w:val="18"/>
        <w:keepNext w:val="0"/>
        <w:keepLines w:val="0"/>
        <w:pageBreakBefore w:val="0"/>
        <w:widowControl w:val="0"/>
        <w:kinsoku/>
        <w:wordWrap/>
        <w:overflowPunct/>
        <w:topLinePunct w:val="0"/>
        <w:autoSpaceDE/>
        <w:autoSpaceDN/>
        <w:bidi w:val="0"/>
        <w:adjustRightInd/>
        <w:snapToGrid w:val="0"/>
        <w:spacing w:beforeAutospacing="0" w:afterAutospacing="0" w:line="560" w:lineRule="exact"/>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《铅山县人民政府办公室关于印发铅山县矿产资源管理工作的意见的通知》（铅府办发〔2023〕2号）                </w:t>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"_铅山县人民政府办公室印发"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fldChar w:fldCharType="end"/>
      </w:r>
    </w:p>
    <w:p>
      <w:pPr>
        <w:pStyle w:val="18"/>
        <w:keepNext w:val="0"/>
        <w:keepLines w:val="0"/>
        <w:pageBreakBefore w:val="0"/>
        <w:widowControl w:val="0"/>
        <w:kinsoku/>
        <w:wordWrap/>
        <w:overflowPunct/>
        <w:topLinePunct w:val="0"/>
        <w:autoSpaceDE/>
        <w:autoSpaceDN/>
        <w:bidi w:val="0"/>
        <w:adjustRightInd/>
        <w:snapToGrid w:val="0"/>
        <w:spacing w:beforeAutospacing="0" w:afterAutospacing="0" w:line="560" w:lineRule="exact"/>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《铅山县人民政府办公室关于印发铅山县县级集中式饮用水水源地（伦潭水库）突发环境事件应急预案的通知》（</w:t>
      </w:r>
      <w:r>
        <w:rPr>
          <w:rFonts w:hint="eastAsia" w:ascii="仿宋_GB2312" w:hAnsi="仿宋_GB2312" w:eastAsia="仿宋_GB2312" w:cs="仿宋_GB2312"/>
          <w:b w:val="0"/>
          <w:bCs w:val="0"/>
          <w:sz w:val="32"/>
          <w:szCs w:val="32"/>
          <w:lang w:val="en-US" w:eastAsia="zh-CN"/>
        </w:rPr>
        <w:t>铅府办发〔2023〕4号</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val="en-US" w:eastAsia="zh-CN"/>
        </w:rPr>
        <w:fldChar w:fldCharType="begin"/>
      </w:r>
      <w:r>
        <w:rPr>
          <w:rFonts w:hint="eastAsia" w:ascii="仿宋_GB2312" w:hAnsi="仿宋_GB2312" w:eastAsia="仿宋_GB2312" w:cs="仿宋_GB2312"/>
          <w:b w:val="0"/>
          <w:bCs w:val="0"/>
          <w:color w:val="auto"/>
          <w:sz w:val="32"/>
          <w:szCs w:val="32"/>
          <w:lang w:val="en-US" w:eastAsia="zh-CN"/>
        </w:rPr>
        <w:instrText xml:space="preserve"> HYPERLINK \l "_铅山县人民政府办公室印发" </w:instrText>
      </w:r>
      <w:r>
        <w:rPr>
          <w:rFonts w:hint="eastAsia" w:ascii="仿宋_GB2312" w:hAnsi="仿宋_GB2312" w:eastAsia="仿宋_GB2312" w:cs="仿宋_GB2312"/>
          <w:b w:val="0"/>
          <w:bCs w:val="0"/>
          <w:color w:val="auto"/>
          <w:sz w:val="32"/>
          <w:szCs w:val="32"/>
          <w:lang w:val="en-US" w:eastAsia="zh-CN"/>
        </w:rPr>
        <w:fldChar w:fldCharType="separate"/>
      </w:r>
      <w:r>
        <w:rPr>
          <w:rFonts w:hint="eastAsia" w:ascii="仿宋_GB2312" w:hAnsi="仿宋_GB2312" w:eastAsia="仿宋_GB2312" w:cs="仿宋_GB2312"/>
          <w:b w:val="0"/>
          <w:bCs w:val="0"/>
          <w:color w:val="auto"/>
          <w:sz w:val="32"/>
          <w:szCs w:val="32"/>
          <w:lang w:val="en-US" w:eastAsia="zh-CN"/>
        </w:rPr>
        <w:t>-6-</w:t>
      </w:r>
      <w:r>
        <w:rPr>
          <w:rFonts w:hint="eastAsia" w:ascii="仿宋_GB2312" w:hAnsi="仿宋_GB2312" w:eastAsia="仿宋_GB2312" w:cs="仿宋_GB2312"/>
          <w:b w:val="0"/>
          <w:bCs w:val="0"/>
          <w:color w:val="auto"/>
          <w:sz w:val="32"/>
          <w:szCs w:val="32"/>
          <w:lang w:val="en-US" w:eastAsia="zh-CN"/>
        </w:rPr>
        <w:fldChar w:fldCharType="end"/>
      </w:r>
    </w:p>
    <w:p>
      <w:pPr>
        <w:pStyle w:val="18"/>
        <w:keepNext w:val="0"/>
        <w:keepLines w:val="0"/>
        <w:pageBreakBefore w:val="0"/>
        <w:widowControl w:val="0"/>
        <w:kinsoku/>
        <w:wordWrap/>
        <w:overflowPunct/>
        <w:topLinePunct w:val="0"/>
        <w:autoSpaceDE/>
        <w:autoSpaceDN/>
        <w:bidi w:val="0"/>
        <w:adjustRightInd/>
        <w:snapToGrid w:val="0"/>
        <w:spacing w:beforeAutospacing="0" w:afterAutospacing="0"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《铅山县人民政府办公室关于印发铅山县城区城市生活垃圾处理费收费使用管理办法的通知》（铅府办发〔2023〕5号）</w:t>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"_铅山县人民政府办公室印发"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-47-</w:t>
      </w:r>
      <w:r>
        <w:rPr>
          <w:rFonts w:hint="eastAsia" w:ascii="仿宋_GB2312" w:hAnsi="仿宋_GB2312" w:eastAsia="仿宋_GB2312" w:cs="仿宋_GB2312"/>
          <w:b w:val="0"/>
          <w:bCs w:val="0"/>
          <w:sz w:val="32"/>
          <w:szCs w:val="32"/>
          <w:lang w:val="en-US" w:eastAsia="zh-CN"/>
        </w:rPr>
        <w:fldChar w:fldCharType="end"/>
      </w:r>
    </w:p>
    <w:p>
      <w:pPr>
        <w:pStyle w:val="19"/>
        <w:keepNext w:val="0"/>
        <w:keepLines w:val="0"/>
        <w:pageBreakBefore w:val="0"/>
        <w:widowControl w:val="0"/>
        <w:kinsoku/>
        <w:wordWrap/>
        <w:overflowPunct/>
        <w:topLinePunct w:val="0"/>
        <w:autoSpaceDE/>
        <w:autoSpaceDN/>
        <w:bidi w:val="0"/>
        <w:adjustRightInd/>
        <w:spacing w:beforeAutospacing="0" w:afterAutospacing="0" w:line="560" w:lineRule="exact"/>
        <w:textAlignment w:val="auto"/>
        <w:rPr>
          <w:rFonts w:hint="eastAsia"/>
          <w:lang w:val="en-US" w:eastAsia="zh-CN"/>
        </w:rPr>
      </w:pPr>
      <w:r>
        <w:rPr>
          <w:rFonts w:hint="eastAsia" w:ascii="仿宋_GB2312" w:hAnsi="仿宋_GB2312" w:eastAsia="仿宋_GB2312" w:cs="仿宋_GB2312"/>
          <w:b w:val="0"/>
          <w:bCs w:val="0"/>
          <w:sz w:val="32"/>
          <w:szCs w:val="32"/>
          <w:lang w:val="en-US" w:eastAsia="zh-CN"/>
        </w:rPr>
        <w:t>《铅山县人民政府关于印发铅山县“十四五”残疾人保障和发展规划的通知》（</w:t>
      </w:r>
      <w:r>
        <w:rPr>
          <w:rFonts w:hint="eastAsia" w:ascii="仿宋_GB2312" w:hAnsi="仿宋_GB2312" w:eastAsia="仿宋_GB2312" w:cs="仿宋_GB2312"/>
          <w:sz w:val="32"/>
          <w:szCs w:val="32"/>
          <w:lang w:bidi="ar"/>
        </w:rPr>
        <w:t>铅府发〔202</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bidi="ar"/>
        </w:rPr>
        <w:t>号</w:t>
      </w:r>
      <w:r>
        <w:rPr>
          <w:rFonts w:hint="eastAsia" w:ascii="仿宋_GB2312" w:hAnsi="仿宋_GB2312" w:eastAsia="仿宋_GB2312" w:cs="仿宋_GB2312"/>
          <w:b w:val="0"/>
          <w:bCs w:val="0"/>
          <w:sz w:val="32"/>
          <w:szCs w:val="32"/>
          <w:lang w:val="en-US" w:eastAsia="zh-CN"/>
        </w:rPr>
        <w:t xml:space="preserve">）                  -52-《铅山县人民政府办公室关于印发进一步加强知识产权创造保护和运用的实施方案的通知》（铅府办发〔2023〕10号） </w:t>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"_铅山县人民政府办公室印发"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-80-</w:t>
      </w:r>
      <w:r>
        <w:rPr>
          <w:rFonts w:hint="eastAsia" w:ascii="仿宋_GB2312" w:hAnsi="仿宋_GB2312" w:eastAsia="仿宋_GB2312" w:cs="仿宋_GB2312"/>
          <w:b w:val="0"/>
          <w:bCs w:val="0"/>
          <w:sz w:val="32"/>
          <w:szCs w:val="32"/>
          <w:lang w:val="en-US" w:eastAsia="zh-CN"/>
        </w:rPr>
        <w:fldChar w:fldCharType="end"/>
      </w:r>
    </w:p>
    <w:p>
      <w:pPr>
        <w:pStyle w:val="18"/>
        <w:keepNext w:val="0"/>
        <w:keepLines w:val="0"/>
        <w:pageBreakBefore w:val="0"/>
        <w:widowControl w:val="0"/>
        <w:kinsoku/>
        <w:wordWrap/>
        <w:overflowPunct/>
        <w:topLinePunct w:val="0"/>
        <w:autoSpaceDE/>
        <w:autoSpaceDN/>
        <w:bidi w:val="0"/>
        <w:adjustRightInd/>
        <w:snapToGrid w:val="0"/>
        <w:spacing w:beforeAutospacing="0" w:afterAutospacing="0"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《铅山县人民政府办公室关于印发铅山县推进养老服务提质升级三年行动实施方案（2023-2025年）的通知》（铅府办发〔2023〕15号）                                             </w:t>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"_铅山县人民政府办公室印发"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-89-</w:t>
      </w:r>
      <w:r>
        <w:rPr>
          <w:rFonts w:hint="eastAsia" w:ascii="仿宋_GB2312" w:hAnsi="仿宋_GB2312" w:eastAsia="仿宋_GB2312" w:cs="仿宋_GB2312"/>
          <w:b w:val="0"/>
          <w:bCs w:val="0"/>
          <w:sz w:val="32"/>
          <w:szCs w:val="32"/>
          <w:lang w:val="en-US" w:eastAsia="zh-CN"/>
        </w:rPr>
        <w:fldChar w:fldCharType="end"/>
      </w:r>
    </w:p>
    <w:p>
      <w:pPr>
        <w:pStyle w:val="18"/>
        <w:keepNext w:val="0"/>
        <w:keepLines w:val="0"/>
        <w:pageBreakBefore w:val="0"/>
        <w:widowControl w:val="0"/>
        <w:kinsoku/>
        <w:wordWrap/>
        <w:overflowPunct/>
        <w:topLinePunct w:val="0"/>
        <w:autoSpaceDE/>
        <w:autoSpaceDN/>
        <w:bidi w:val="0"/>
        <w:adjustRightInd/>
        <w:snapToGrid w:val="0"/>
        <w:spacing w:beforeAutospacing="0" w:afterAutospacing="0"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《铅山县人民政府关于印发铅山县制造业重点产业链现代化建设“639”行动计划（2023—2026年）的通知》（</w:t>
      </w:r>
      <w:r>
        <w:rPr>
          <w:rFonts w:hint="eastAsia" w:ascii="仿宋_GB2312" w:hAnsi="仿宋_GB2312" w:eastAsia="仿宋_GB2312" w:cs="仿宋_GB2312"/>
          <w:sz w:val="32"/>
          <w:szCs w:val="32"/>
          <w:lang w:bidi="ar"/>
        </w:rPr>
        <w:t>铅府发〔202</w:t>
      </w: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bidi="ar"/>
        </w:rPr>
        <w:t>9</w:t>
      </w:r>
      <w:r>
        <w:rPr>
          <w:rFonts w:hint="eastAsia" w:ascii="仿宋_GB2312" w:hAnsi="仿宋_GB2312" w:eastAsia="仿宋_GB2312" w:cs="仿宋_GB2312"/>
          <w:sz w:val="32"/>
          <w:szCs w:val="32"/>
          <w:lang w:bidi="ar"/>
        </w:rPr>
        <w:t>号</w:t>
      </w:r>
      <w:r>
        <w:rPr>
          <w:rFonts w:hint="eastAsia" w:ascii="仿宋_GB2312" w:hAnsi="仿宋_GB2312" w:eastAsia="仿宋_GB2312" w:cs="仿宋_GB2312"/>
          <w:b w:val="0"/>
          <w:bCs w:val="0"/>
          <w:sz w:val="32"/>
          <w:szCs w:val="32"/>
          <w:lang w:val="en-US" w:eastAsia="zh-CN"/>
        </w:rPr>
        <w:t>）                                              -108-</w:t>
      </w:r>
    </w:p>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楷体" w:hAnsi="楷体" w:eastAsia="楷体" w:cs="楷体"/>
          <w:b/>
          <w:color w:val="auto"/>
          <w:kern w:val="2"/>
          <w:sz w:val="32"/>
          <w:szCs w:val="32"/>
          <w:shd w:val="clear" w:fill="FFFFFF"/>
        </w:rPr>
      </w:pPr>
      <w:r>
        <w:rPr>
          <w:rFonts w:hint="eastAsia" w:ascii="楷体" w:hAnsi="楷体" w:eastAsia="楷体" w:cs="楷体"/>
          <w:b/>
          <w:color w:val="auto"/>
          <w:kern w:val="2"/>
          <w:sz w:val="32"/>
          <w:szCs w:val="32"/>
          <w:shd w:val="clear" w:fill="FFFFFF"/>
        </w:rPr>
        <w:t>政策解读</w:t>
      </w:r>
    </w:p>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仿宋" w:hAnsi="仿宋" w:eastAsia="仿宋" w:cs="仿宋"/>
          <w:b w:val="0"/>
          <w:color w:val="333333"/>
          <w:kern w:val="2"/>
          <w:sz w:val="32"/>
          <w:szCs w:val="32"/>
          <w:u w:val="none"/>
          <w:shd w:val="clear" w:fill="FFFFFF"/>
          <w:lang w:val="en-US" w:eastAsia="zh-CN"/>
        </w:rPr>
      </w:pPr>
      <w:r>
        <w:rPr>
          <w:rFonts w:hint="eastAsia" w:ascii="仿宋_GB2312" w:hAnsi="仿宋_GB2312" w:eastAsia="仿宋_GB2312" w:cs="仿宋_GB2312"/>
          <w:b w:val="0"/>
          <w:bCs w:val="0"/>
          <w:kern w:val="2"/>
          <w:sz w:val="32"/>
          <w:szCs w:val="32"/>
          <w:lang w:val="en-US" w:eastAsia="zh-CN" w:bidi="ar-SA"/>
        </w:rPr>
        <w:fldChar w:fldCharType="begin"/>
      </w:r>
      <w:r>
        <w:rPr>
          <w:rFonts w:hint="eastAsia" w:ascii="仿宋_GB2312" w:hAnsi="仿宋_GB2312" w:eastAsia="仿宋_GB2312" w:cs="仿宋_GB2312"/>
          <w:b w:val="0"/>
          <w:bCs w:val="0"/>
          <w:kern w:val="2"/>
          <w:sz w:val="32"/>
          <w:szCs w:val="32"/>
          <w:lang w:val="en-US" w:eastAsia="zh-CN" w:bidi="ar-SA"/>
        </w:rPr>
        <w:instrText xml:space="preserve"> HYPERLINK "http://www.jxyanshan.gov.cn/public/31/2583431.html" </w:instrText>
      </w:r>
      <w:r>
        <w:rPr>
          <w:rFonts w:hint="eastAsia" w:ascii="仿宋_GB2312" w:hAnsi="仿宋_GB2312" w:eastAsia="仿宋_GB2312" w:cs="仿宋_GB2312"/>
          <w:b w:val="0"/>
          <w:bCs w:val="0"/>
          <w:kern w:val="2"/>
          <w:sz w:val="32"/>
          <w:szCs w:val="32"/>
          <w:lang w:val="en-US" w:eastAsia="zh-CN" w:bidi="ar-SA"/>
        </w:rPr>
        <w:fldChar w:fldCharType="separate"/>
      </w:r>
      <w:r>
        <w:rPr>
          <w:rFonts w:hint="eastAsia" w:ascii="仿宋_GB2312" w:hAnsi="仿宋_GB2312" w:eastAsia="仿宋_GB2312" w:cs="仿宋_GB2312"/>
          <w:b w:val="0"/>
          <w:bCs w:val="0"/>
          <w:kern w:val="2"/>
          <w:sz w:val="32"/>
          <w:szCs w:val="32"/>
          <w:lang w:val="en-US" w:eastAsia="zh-CN" w:bidi="ar-SA"/>
        </w:rPr>
        <w:t>2023年铅山县政府工作报告解读</w:t>
      </w:r>
      <w:r>
        <w:rPr>
          <w:rFonts w:hint="eastAsia" w:ascii="仿宋_GB2312" w:hAnsi="仿宋_GB2312" w:eastAsia="仿宋_GB2312" w:cs="仿宋_GB2312"/>
          <w:b w:val="0"/>
          <w:bCs w:val="0"/>
          <w:kern w:val="2"/>
          <w:sz w:val="32"/>
          <w:szCs w:val="32"/>
          <w:lang w:val="en-US" w:eastAsia="zh-CN" w:bidi="ar-SA"/>
        </w:rPr>
        <w:fldChar w:fldCharType="end"/>
      </w:r>
      <w:r>
        <w:rPr>
          <w:rFonts w:hint="eastAsia" w:ascii="仿宋_GB2312" w:hAnsi="仿宋_GB2312" w:eastAsia="仿宋_GB2312" w:cs="仿宋_GB2312"/>
          <w:b w:val="0"/>
          <w:bCs w:val="0"/>
          <w:kern w:val="2"/>
          <w:sz w:val="32"/>
          <w:szCs w:val="32"/>
          <w:lang w:val="en-US" w:eastAsia="zh-CN" w:bidi="ar-SA"/>
        </w:rPr>
        <w:t xml:space="preserve">                      </w:t>
      </w:r>
      <w:r>
        <w:rPr>
          <w:rFonts w:hint="eastAsia" w:ascii="仿宋_GB2312" w:hAnsi="仿宋_GB2312" w:eastAsia="仿宋_GB2312" w:cs="仿宋_GB2312"/>
          <w:b w:val="0"/>
          <w:bCs w:val="0"/>
          <w:kern w:val="2"/>
          <w:sz w:val="32"/>
          <w:szCs w:val="32"/>
          <w:lang w:val="en-US" w:eastAsia="zh-CN" w:bidi="ar-SA"/>
        </w:rPr>
        <w:fldChar w:fldCharType="begin"/>
      </w:r>
      <w:r>
        <w:rPr>
          <w:rFonts w:hint="eastAsia" w:ascii="仿宋_GB2312" w:hAnsi="仿宋_GB2312" w:eastAsia="仿宋_GB2312" w:cs="仿宋_GB2312"/>
          <w:b w:val="0"/>
          <w:bCs w:val="0"/>
          <w:kern w:val="2"/>
          <w:sz w:val="32"/>
          <w:szCs w:val="32"/>
          <w:lang w:val="en-US" w:eastAsia="zh-CN" w:bidi="ar-SA"/>
        </w:rPr>
        <w:instrText xml:space="preserve"> HYPERLINK \l "_2020年铅山县政府工作报告解读" </w:instrText>
      </w:r>
      <w:r>
        <w:rPr>
          <w:rFonts w:hint="eastAsia" w:ascii="仿宋_GB2312" w:hAnsi="仿宋_GB2312" w:eastAsia="仿宋_GB2312" w:cs="仿宋_GB2312"/>
          <w:b w:val="0"/>
          <w:bCs w:val="0"/>
          <w:kern w:val="2"/>
          <w:sz w:val="32"/>
          <w:szCs w:val="32"/>
          <w:lang w:val="en-US" w:eastAsia="zh-CN" w:bidi="ar-SA"/>
        </w:rPr>
        <w:fldChar w:fldCharType="separate"/>
      </w:r>
      <w:r>
        <w:rPr>
          <w:rFonts w:hint="eastAsia" w:ascii="仿宋_GB2312" w:hAnsi="仿宋_GB2312" w:eastAsia="仿宋_GB2312" w:cs="仿宋_GB2312"/>
          <w:b w:val="0"/>
          <w:bCs w:val="0"/>
          <w:kern w:val="2"/>
          <w:sz w:val="32"/>
          <w:szCs w:val="32"/>
          <w:lang w:val="en-US" w:eastAsia="zh-CN" w:bidi="ar-SA"/>
        </w:rPr>
        <w:t>-119-</w:t>
      </w:r>
      <w:r>
        <w:rPr>
          <w:rFonts w:hint="eastAsia" w:ascii="仿宋_GB2312" w:hAnsi="仿宋_GB2312" w:eastAsia="仿宋_GB2312" w:cs="仿宋_GB2312"/>
          <w:b w:val="0"/>
          <w:bCs w:val="0"/>
          <w:kern w:val="2"/>
          <w:sz w:val="32"/>
          <w:szCs w:val="32"/>
          <w:lang w:val="en-US" w:eastAsia="zh-CN" w:bidi="ar-SA"/>
        </w:rPr>
        <w:fldChar w:fldCharType="end"/>
      </w:r>
    </w:p>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Fonts w:hint="eastAsia" w:ascii="楷体" w:hAnsi="楷体" w:eastAsia="楷体" w:cs="楷体"/>
          <w:b/>
          <w:color w:val="333333"/>
          <w:kern w:val="2"/>
          <w:sz w:val="32"/>
          <w:szCs w:val="32"/>
          <w:shd w:val="clear" w:fill="FFFFFF"/>
          <w:lang w:eastAsia="zh-CN"/>
        </w:rPr>
      </w:pPr>
      <w:r>
        <w:rPr>
          <w:rFonts w:hint="eastAsia" w:ascii="楷体" w:hAnsi="楷体" w:eastAsia="楷体" w:cs="楷体"/>
          <w:b/>
          <w:color w:val="333333"/>
          <w:kern w:val="2"/>
          <w:sz w:val="32"/>
          <w:szCs w:val="32"/>
          <w:shd w:val="clear" w:fill="FFFFFF"/>
          <w:lang w:eastAsia="zh-CN"/>
        </w:rPr>
        <w:t>任职文件</w:t>
      </w:r>
    </w:p>
    <w:p>
      <w:pPr>
        <w:pStyle w:val="18"/>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\l "_铅山县人民政府"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铅山县人民政府关于张建波等同志正式任职的通知》</w:t>
      </w:r>
    </w:p>
    <w:p>
      <w:pPr>
        <w:pStyle w:val="18"/>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（铅府字〔2023〕39号）                               -136-</w:t>
      </w:r>
      <w:r>
        <w:rPr>
          <w:rFonts w:hint="eastAsia" w:ascii="仿宋_GB2312" w:hAnsi="仿宋_GB2312" w:eastAsia="仿宋_GB2312" w:cs="仿宋_GB2312"/>
          <w:b w:val="0"/>
          <w:bCs w:val="0"/>
          <w:sz w:val="32"/>
          <w:szCs w:val="32"/>
          <w:lang w:val="en-US" w:eastAsia="zh-CN"/>
        </w:rPr>
        <w:fldChar w:fldCharType="end"/>
      </w:r>
    </w:p>
    <w:p>
      <w:pPr>
        <w:pStyle w:val="18"/>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《铅山县人民政府关于陆柏宏等同志任职的通知》</w:t>
      </w:r>
    </w:p>
    <w:p>
      <w:pPr>
        <w:pStyle w:val="18"/>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（铅府字〔2023〕59号）                             -138-</w:t>
      </w:r>
    </w:p>
    <w:p>
      <w:pPr>
        <w:pStyle w:val="18"/>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《铅山县人民政府关于向建英等同志正式任职的通知》</w:t>
      </w:r>
    </w:p>
    <w:p>
      <w:pPr>
        <w:pStyle w:val="18"/>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（铅府字〔2023〕67号）                            -139-</w:t>
      </w:r>
    </w:p>
    <w:p>
      <w:pPr>
        <w:pStyle w:val="18"/>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《铅山县人民政府关于徐金等同志职务任免的通知》</w:t>
      </w:r>
    </w:p>
    <w:p>
      <w:pPr>
        <w:pStyle w:val="18"/>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（铅府字〔2023〕92号）                            -141-</w:t>
      </w:r>
    </w:p>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textAlignment w:val="auto"/>
        <w:rPr>
          <w:rStyle w:val="30"/>
          <w:rFonts w:hint="default" w:ascii="仿宋" w:hAnsi="仿宋" w:eastAsia="仿宋" w:cs="仿宋"/>
          <w:b w:val="0"/>
          <w:color w:val="333333"/>
          <w:kern w:val="2"/>
          <w:sz w:val="32"/>
          <w:szCs w:val="32"/>
          <w:shd w:val="clear" w:fill="FFFFFF"/>
          <w:lang w:val="en-US" w:eastAsia="zh-CN"/>
        </w:rPr>
      </w:pPr>
    </w:p>
    <w:p>
      <w:pPr>
        <w:pStyle w:val="19"/>
        <w:keepNext w:val="0"/>
        <w:keepLines w:val="0"/>
        <w:widowControl/>
        <w:suppressLineNumbers w:val="0"/>
        <w:spacing w:before="0" w:beforeAutospacing="1" w:after="0" w:afterAutospacing="1" w:line="23" w:lineRule="atLeast"/>
        <w:ind w:left="0" w:right="0"/>
        <w:rPr>
          <w:rFonts w:hint="eastAsia" w:ascii="仿宋" w:hAnsi="仿宋" w:eastAsia="仿宋" w:cs="仿宋"/>
          <w:b w:val="0"/>
          <w:color w:val="333333"/>
          <w:kern w:val="2"/>
          <w:sz w:val="32"/>
          <w:szCs w:val="32"/>
          <w:u w:val="none"/>
          <w:shd w:val="clear" w:fill="FFFFFF"/>
          <w:lang w:val="en-US" w:eastAsia="zh-CN"/>
        </w:rPr>
      </w:pPr>
    </w:p>
    <w:p>
      <w:pPr>
        <w:pStyle w:val="19"/>
        <w:keepNext w:val="0"/>
        <w:keepLines w:val="0"/>
        <w:widowControl/>
        <w:suppressLineNumbers w:val="0"/>
        <w:spacing w:before="0" w:beforeAutospacing="1" w:after="0" w:afterAutospacing="1" w:line="23" w:lineRule="atLeast"/>
        <w:ind w:left="0" w:right="0"/>
        <w:rPr>
          <w:rFonts w:hint="default" w:ascii="仿宋" w:hAnsi="仿宋" w:eastAsia="仿宋" w:cs="仿宋"/>
          <w:b w:val="0"/>
          <w:color w:val="333333"/>
          <w:kern w:val="2"/>
          <w:sz w:val="32"/>
          <w:szCs w:val="32"/>
          <w:u w:val="none"/>
          <w:shd w:val="clear" w:fill="FFFFFF"/>
          <w:lang w:val="en-US" w:eastAsia="zh-CN"/>
        </w:rPr>
      </w:pPr>
    </w:p>
    <w:p>
      <w:pPr>
        <w:pStyle w:val="19"/>
        <w:keepNext w:val="0"/>
        <w:keepLines w:val="0"/>
        <w:widowControl/>
        <w:suppressLineNumbers w:val="0"/>
        <w:spacing w:before="0" w:beforeAutospacing="1" w:after="0" w:afterAutospacing="1" w:line="23" w:lineRule="atLeast"/>
        <w:ind w:left="0" w:right="0"/>
        <w:rPr>
          <w:rFonts w:hint="eastAsia" w:ascii="微软雅黑" w:hAnsi="微软雅黑" w:eastAsia="微软雅黑" w:cs="微软雅黑"/>
          <w:b/>
          <w:color w:val="333333"/>
          <w:sz w:val="18"/>
          <w:szCs w:val="18"/>
          <w:u w:val="none"/>
          <w:shd w:val="clear" w:fill="FFFFFF"/>
        </w:rPr>
      </w:pPr>
    </w:p>
    <w:p>
      <w:pPr>
        <w:pStyle w:val="19"/>
        <w:keepNext w:val="0"/>
        <w:keepLines w:val="0"/>
        <w:widowControl/>
        <w:suppressLineNumbers w:val="0"/>
        <w:spacing w:before="0" w:beforeAutospacing="1" w:after="0" w:afterAutospacing="1" w:line="23" w:lineRule="atLeast"/>
        <w:ind w:left="0" w:right="0"/>
        <w:rPr>
          <w:rFonts w:hint="eastAsia" w:ascii="微软雅黑" w:hAnsi="微软雅黑" w:eastAsia="微软雅黑" w:cs="微软雅黑"/>
          <w:b/>
          <w:color w:val="333333"/>
          <w:sz w:val="18"/>
          <w:szCs w:val="18"/>
          <w:u w:val="none"/>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line="360" w:lineRule="auto"/>
        <w:jc w:val="both"/>
        <w:rPr>
          <w:color w:val="333333"/>
          <w:sz w:val="48"/>
          <w:szCs w:val="48"/>
          <w:shd w:val="clear" w:fill="FFFFFF"/>
        </w:rPr>
        <w:sectPr>
          <w:footerReference r:id="rId3" w:type="default"/>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right="0" w:firstLine="1320" w:firstLineChars="300"/>
        <w:jc w:val="both"/>
        <w:textAlignment w:val="auto"/>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lang w:eastAsia="zh-CN"/>
        </w:rPr>
        <w:t>铅山县</w:t>
      </w:r>
      <w:r>
        <w:rPr>
          <w:rFonts w:hint="eastAsia" w:ascii="方正小标宋简体" w:hAnsi="方正小标宋简体" w:eastAsia="方正小标宋简体" w:cs="方正小标宋简体"/>
          <w:b w:val="0"/>
          <w:bCs w:val="0"/>
          <w:color w:val="auto"/>
          <w:sz w:val="44"/>
          <w:szCs w:val="44"/>
        </w:rPr>
        <w:t>矿产资源管理工作的意见</w:t>
      </w:r>
    </w:p>
    <w:p>
      <w:pPr>
        <w:keepNext w:val="0"/>
        <w:keepLines w:val="0"/>
        <w:pageBreakBefore w:val="0"/>
        <w:kinsoku/>
        <w:wordWrap/>
        <w:overflowPunct/>
        <w:topLinePunct w:val="0"/>
        <w:bidi w:val="0"/>
        <w:snapToGrid/>
        <w:spacing w:line="560" w:lineRule="exact"/>
        <w:ind w:firstLine="640" w:firstLineChars="200"/>
        <w:textAlignment w:val="auto"/>
        <w:rPr>
          <w:rFonts w:hint="eastAsia" w:ascii="仿宋" w:hAnsi="仿宋" w:eastAsia="仿宋" w:cs="仿宋"/>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为充分发挥我</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矿产资源优势，</w:t>
      </w:r>
      <w:r>
        <w:rPr>
          <w:rFonts w:hint="eastAsia" w:ascii="仿宋_GB2312" w:hAnsi="仿宋_GB2312" w:eastAsia="仿宋_GB2312" w:cs="仿宋_GB2312"/>
          <w:color w:val="auto"/>
          <w:sz w:val="32"/>
          <w:szCs w:val="32"/>
          <w:lang w:eastAsia="zh-CN"/>
        </w:rPr>
        <w:t>进一步</w:t>
      </w:r>
      <w:r>
        <w:rPr>
          <w:rFonts w:hint="eastAsia" w:ascii="仿宋_GB2312" w:hAnsi="仿宋_GB2312" w:eastAsia="仿宋_GB2312" w:cs="仿宋_GB2312"/>
          <w:color w:val="auto"/>
          <w:sz w:val="32"/>
          <w:szCs w:val="32"/>
        </w:rPr>
        <w:t>规范矿产资源开发利用秩序，做大做强做优矿</w:t>
      </w:r>
      <w:r>
        <w:rPr>
          <w:rFonts w:hint="eastAsia" w:ascii="仿宋_GB2312" w:hAnsi="仿宋_GB2312" w:eastAsia="仿宋_GB2312" w:cs="仿宋_GB2312"/>
          <w:color w:val="auto"/>
          <w:sz w:val="32"/>
          <w:szCs w:val="32"/>
          <w:lang w:eastAsia="zh-CN"/>
        </w:rPr>
        <w:t>业</w:t>
      </w:r>
      <w:r>
        <w:rPr>
          <w:rFonts w:hint="eastAsia" w:ascii="仿宋_GB2312" w:hAnsi="仿宋_GB2312" w:eastAsia="仿宋_GB2312" w:cs="仿宋_GB2312"/>
          <w:color w:val="auto"/>
          <w:sz w:val="32"/>
          <w:szCs w:val="32"/>
        </w:rPr>
        <w:t>经济，</w:t>
      </w:r>
      <w:r>
        <w:rPr>
          <w:rFonts w:hint="eastAsia" w:ascii="仿宋_GB2312" w:hAnsi="仿宋_GB2312" w:eastAsia="仿宋_GB2312" w:cs="仿宋_GB2312"/>
          <w:color w:val="auto"/>
          <w:sz w:val="32"/>
          <w:szCs w:val="32"/>
          <w:lang w:val="en-US" w:eastAsia="zh-CN"/>
        </w:rPr>
        <w:t>建立矿产资源可持续开发利用长效机制，推动全县经济高质量发展，根据《中华人民共和国矿产资源法》</w:t>
      </w:r>
      <w:r>
        <w:rPr>
          <w:rFonts w:hint="eastAsia" w:ascii="仿宋_GB2312" w:hAnsi="仿宋_GB2312" w:eastAsia="仿宋_GB2312" w:cs="仿宋_GB2312"/>
          <w:color w:val="auto"/>
          <w:sz w:val="32"/>
          <w:szCs w:val="32"/>
        </w:rPr>
        <w:t>《江西省矿产资源管理条例》</w:t>
      </w:r>
      <w:r>
        <w:rPr>
          <w:rFonts w:hint="eastAsia" w:ascii="仿宋_GB2312" w:hAnsi="仿宋_GB2312" w:eastAsia="仿宋_GB2312" w:cs="仿宋_GB2312"/>
          <w:color w:val="auto"/>
          <w:sz w:val="32"/>
          <w:szCs w:val="32"/>
          <w:lang w:val="en-US" w:eastAsia="zh-CN"/>
        </w:rPr>
        <w:t>等</w:t>
      </w:r>
      <w:r>
        <w:rPr>
          <w:rFonts w:hint="eastAsia" w:ascii="仿宋_GB2312" w:hAnsi="仿宋_GB2312" w:eastAsia="仿宋_GB2312" w:cs="仿宋_GB2312"/>
          <w:color w:val="auto"/>
          <w:sz w:val="32"/>
          <w:szCs w:val="32"/>
        </w:rPr>
        <w:t>法律法规，现就矿产资源管理工作提出如下意见。</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一、指导思想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以习近平生态文明思想为引领，按照节约集约利用矿产资源、保护生态环境的要求，加强矿产资源统筹规划、依法保护、合理开发利用。积极构建“净矿”出让、公开出让、批后监管等制度，推进矿产资源规模化、集约化经营，培育具有竞争力的矿产资源经济骨干企业。推进矿产资源整合和矿产品精深加工，提高矿产资源延伸产业链，实现资源效益最大化，促进矿产资源优势向矿业经济优势转变，为“</w:t>
      </w:r>
      <w:r>
        <w:rPr>
          <w:rFonts w:hint="eastAsia" w:ascii="仿宋_GB2312" w:hAnsi="仿宋_GB2312" w:eastAsia="仿宋_GB2312" w:cs="仿宋_GB2312"/>
          <w:color w:val="auto"/>
          <w:sz w:val="32"/>
          <w:szCs w:val="32"/>
          <w:lang w:eastAsia="zh-CN"/>
        </w:rPr>
        <w:t>全面融入上饶中心城区、建设现代化美丽新铅山</w:t>
      </w:r>
      <w:r>
        <w:rPr>
          <w:rFonts w:hint="eastAsia" w:ascii="仿宋_GB2312" w:hAnsi="仿宋_GB2312" w:eastAsia="仿宋_GB2312" w:cs="仿宋_GB2312"/>
          <w:color w:val="auto"/>
          <w:sz w:val="32"/>
          <w:szCs w:val="32"/>
        </w:rPr>
        <w:t>”，提供有效资源、资金要素支撑。</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二、基本原则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严格执行矿产资源、生态保护等法律法规；坚决维护矿产资源国家所有者权益，坚持生态优先，在保护中开发，在开发中保护，把</w:t>
      </w:r>
      <w:r>
        <w:rPr>
          <w:rFonts w:hint="eastAsia" w:ascii="仿宋_GB2312" w:hAnsi="仿宋_GB2312" w:eastAsia="仿宋_GB2312" w:cs="仿宋_GB2312"/>
          <w:color w:val="auto"/>
          <w:sz w:val="32"/>
          <w:szCs w:val="32"/>
          <w:lang w:eastAsia="zh-CN"/>
        </w:rPr>
        <w:t>绿色生态</w:t>
      </w:r>
      <w:r>
        <w:rPr>
          <w:rFonts w:hint="eastAsia" w:ascii="仿宋_GB2312" w:hAnsi="仿宋_GB2312" w:eastAsia="仿宋_GB2312" w:cs="仿宋_GB2312"/>
          <w:color w:val="auto"/>
          <w:sz w:val="32"/>
          <w:szCs w:val="32"/>
        </w:rPr>
        <w:t>放在首位；坚持统筹规划、科学开发、合理利用；坚持发挥市场配置资源的决定性作用和政府作用；坚持矿产资源审批和监督管理规范、有序、合法、公正、公开、透明</w:t>
      </w:r>
      <w:r>
        <w:rPr>
          <w:rFonts w:hint="eastAsia" w:ascii="仿宋_GB2312" w:hAnsi="仿宋_GB2312" w:eastAsia="仿宋_GB2312" w:cs="仿宋_GB2312"/>
          <w:color w:val="auto"/>
          <w:sz w:val="32"/>
          <w:szCs w:val="32"/>
          <w:lang w:eastAsia="zh-CN"/>
        </w:rPr>
        <w:t>，促进矿产开发利用健康发展。</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三、规范矿产资源出让审批管理</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rPr>
        <w:t>（一）严格规划管控。</w:t>
      </w:r>
      <w:r>
        <w:rPr>
          <w:rFonts w:hint="eastAsia" w:ascii="仿宋_GB2312" w:hAnsi="仿宋_GB2312" w:eastAsia="仿宋_GB2312" w:cs="仿宋_GB2312"/>
          <w:color w:val="auto"/>
          <w:sz w:val="32"/>
          <w:szCs w:val="32"/>
          <w:lang w:eastAsia="zh-CN"/>
        </w:rPr>
        <w:t>严格组织实施铅山县</w:t>
      </w:r>
      <w:r>
        <w:rPr>
          <w:rFonts w:hint="eastAsia" w:ascii="仿宋_GB2312" w:hAnsi="仿宋_GB2312" w:eastAsia="仿宋_GB2312" w:cs="仿宋_GB2312"/>
          <w:color w:val="auto"/>
          <w:sz w:val="32"/>
          <w:szCs w:val="32"/>
        </w:rPr>
        <w:t>矿产资源规划（2021-2025年），</w:t>
      </w:r>
      <w:r>
        <w:rPr>
          <w:rFonts w:hint="eastAsia" w:ascii="仿宋_GB2312" w:hAnsi="仿宋_GB2312" w:eastAsia="仿宋_GB2312" w:cs="仿宋_GB2312"/>
          <w:color w:val="auto"/>
          <w:sz w:val="32"/>
          <w:szCs w:val="32"/>
          <w:lang w:eastAsia="zh-CN"/>
        </w:rPr>
        <w:t>大力开展地质找矿行动，</w:t>
      </w:r>
      <w:r>
        <w:rPr>
          <w:rFonts w:hint="eastAsia" w:ascii="仿宋_GB2312" w:hAnsi="仿宋_GB2312" w:eastAsia="仿宋_GB2312" w:cs="仿宋_GB2312"/>
          <w:color w:val="auto"/>
          <w:sz w:val="32"/>
          <w:szCs w:val="32"/>
        </w:rPr>
        <w:t>对</w:t>
      </w:r>
      <w:r>
        <w:rPr>
          <w:rFonts w:hint="eastAsia" w:ascii="仿宋_GB2312" w:hAnsi="仿宋_GB2312" w:eastAsia="仿宋_GB2312" w:cs="仿宋_GB2312"/>
          <w:color w:val="auto"/>
          <w:sz w:val="32"/>
          <w:szCs w:val="32"/>
          <w:lang w:eastAsia="zh-CN"/>
        </w:rPr>
        <w:t>县域内</w:t>
      </w:r>
      <w:r>
        <w:rPr>
          <w:rFonts w:hint="eastAsia" w:ascii="仿宋_GB2312" w:hAnsi="仿宋_GB2312" w:eastAsia="仿宋_GB2312" w:cs="仿宋_GB2312"/>
          <w:color w:val="auto"/>
          <w:sz w:val="32"/>
          <w:szCs w:val="32"/>
        </w:rPr>
        <w:t>矿产资源禀赋、勘查开发利用现状和规划期内国民经济和社会对矿产资源的需求进行全面摸底调查，协调资源开发与区域发展、生态保护的关系，合理优化布局，严格控制开采总量和矿山数量，提高开采规模、开发利用水平、绿色矿山建设等准入条件，统筹规划好矿产资源勘查、开发利用和保护活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bCs/>
          <w:color w:val="auto"/>
          <w:sz w:val="32"/>
          <w:szCs w:val="32"/>
        </w:rPr>
        <w:t>（二）全面推进“净矿”出让。</w:t>
      </w:r>
      <w:r>
        <w:rPr>
          <w:rFonts w:hint="eastAsia" w:ascii="仿宋_GB2312" w:hAnsi="仿宋_GB2312" w:eastAsia="仿宋_GB2312" w:cs="仿宋_GB2312"/>
          <w:color w:val="auto"/>
          <w:sz w:val="32"/>
          <w:szCs w:val="32"/>
        </w:rPr>
        <w:t>普通建筑用砂石土应采取“净矿”方式竞争性出让采矿权，逐步推进</w:t>
      </w:r>
      <w:r>
        <w:rPr>
          <w:rFonts w:hint="eastAsia" w:ascii="仿宋_GB2312" w:hAnsi="仿宋_GB2312" w:eastAsia="仿宋_GB2312" w:cs="仿宋_GB2312"/>
          <w:color w:val="auto"/>
          <w:sz w:val="32"/>
          <w:szCs w:val="32"/>
          <w:lang w:val="en-US" w:eastAsia="zh-CN"/>
        </w:rPr>
        <w:t>县本级采矿权审批权限内的</w:t>
      </w:r>
      <w:r>
        <w:rPr>
          <w:rFonts w:hint="eastAsia" w:ascii="仿宋_GB2312" w:hAnsi="仿宋_GB2312" w:eastAsia="仿宋_GB2312" w:cs="仿宋_GB2312"/>
          <w:color w:val="auto"/>
          <w:sz w:val="32"/>
          <w:szCs w:val="32"/>
        </w:rPr>
        <w:t>其它矿种采矿权“净矿”出让。“净矿”出让应具备以下条件：（1）符合矿产资源规划；（2）与已设矿业权无权属争议；（3）与各类保护地、生态保护红线等禁止开发区无重叠；（4）生态环境、应急管理、水利、林业等部门无异议；（5）具备用地、用林保障等采矿权应具备的基本条件。</w:t>
      </w:r>
      <w:r>
        <w:rPr>
          <w:rFonts w:hint="eastAsia" w:ascii="仿宋_GB2312" w:hAnsi="仿宋_GB2312" w:eastAsia="仿宋_GB2312" w:cs="仿宋_GB2312"/>
          <w:color w:val="auto"/>
          <w:sz w:val="32"/>
          <w:szCs w:val="32"/>
          <w:lang w:eastAsia="zh-CN"/>
        </w:rPr>
        <w:t>已设置露天开采的采矿权</w:t>
      </w:r>
      <w:r>
        <w:rPr>
          <w:rFonts w:hint="eastAsia" w:ascii="仿宋_GB2312" w:hAnsi="仿宋_GB2312" w:eastAsia="仿宋_GB2312" w:cs="仿宋_GB2312"/>
          <w:color w:val="auto"/>
          <w:sz w:val="32"/>
          <w:szCs w:val="32"/>
          <w:lang w:val="en-US" w:eastAsia="zh-CN"/>
        </w:rPr>
        <w:t>的</w:t>
      </w:r>
      <w:r>
        <w:rPr>
          <w:rFonts w:hint="eastAsia" w:ascii="仿宋_GB2312" w:hAnsi="仿宋_GB2312" w:eastAsia="仿宋_GB2312" w:cs="仿宋_GB2312"/>
          <w:color w:val="auto"/>
          <w:sz w:val="32"/>
          <w:szCs w:val="32"/>
          <w:lang w:eastAsia="zh-CN"/>
        </w:rPr>
        <w:t>区域</w:t>
      </w:r>
      <w:r>
        <w:rPr>
          <w:rFonts w:hint="eastAsia" w:ascii="仿宋_GB2312" w:hAnsi="仿宋_GB2312" w:eastAsia="仿宋_GB2312" w:cs="仿宋_GB2312"/>
          <w:color w:val="auto"/>
          <w:sz w:val="32"/>
          <w:szCs w:val="32"/>
          <w:lang w:val="en-US" w:eastAsia="zh-CN"/>
        </w:rPr>
        <w:t>范围内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禁止租赁、添附等行为</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pacing w:val="-6"/>
          <w:sz w:val="32"/>
          <w:szCs w:val="32"/>
        </w:rPr>
      </w:pPr>
      <w:r>
        <w:rPr>
          <w:rFonts w:hint="eastAsia" w:ascii="楷体_GB2312" w:hAnsi="楷体_GB2312" w:eastAsia="楷体_GB2312" w:cs="楷体_GB2312"/>
          <w:b/>
          <w:bCs/>
          <w:color w:val="auto"/>
          <w:sz w:val="32"/>
          <w:szCs w:val="32"/>
        </w:rPr>
        <w:t>（三）完善矿业权出让管理制度。</w:t>
      </w:r>
      <w:r>
        <w:rPr>
          <w:rFonts w:hint="eastAsia" w:ascii="仿宋_GB2312" w:hAnsi="仿宋_GB2312" w:eastAsia="仿宋_GB2312" w:cs="仿宋_GB2312"/>
          <w:color w:val="auto"/>
          <w:sz w:val="32"/>
          <w:szCs w:val="32"/>
        </w:rPr>
        <w:t>坚决维护国家矿产资源所有者权益，保障矿业权市场充分、良性竞争。全面推进矿业权竞争性出让，</w:t>
      </w:r>
      <w:r>
        <w:rPr>
          <w:rFonts w:hint="eastAsia" w:ascii="仿宋_GB2312" w:hAnsi="仿宋_GB2312" w:eastAsia="仿宋_GB2312" w:cs="仿宋_GB2312"/>
          <w:color w:val="auto"/>
          <w:sz w:val="32"/>
          <w:szCs w:val="32"/>
          <w:lang w:eastAsia="zh-CN"/>
        </w:rPr>
        <w:t>县级审批的采矿权</w:t>
      </w:r>
      <w:r>
        <w:rPr>
          <w:rFonts w:hint="eastAsia" w:ascii="仿宋_GB2312" w:hAnsi="仿宋_GB2312" w:eastAsia="仿宋_GB2312" w:cs="仿宋_GB2312"/>
          <w:color w:val="auto"/>
          <w:sz w:val="32"/>
          <w:szCs w:val="32"/>
        </w:rPr>
        <w:t>采取招标、拍卖、挂牌、协议、申请在先等方式</w:t>
      </w:r>
      <w:r>
        <w:rPr>
          <w:rFonts w:hint="eastAsia" w:ascii="仿宋_GB2312" w:hAnsi="仿宋_GB2312" w:eastAsia="仿宋_GB2312" w:cs="仿宋_GB2312"/>
          <w:color w:val="auto"/>
          <w:sz w:val="32"/>
          <w:szCs w:val="32"/>
          <w:lang w:eastAsia="zh-CN"/>
        </w:rPr>
        <w:t>进行</w:t>
      </w:r>
      <w:r>
        <w:rPr>
          <w:rFonts w:hint="eastAsia" w:ascii="仿宋_GB2312" w:hAnsi="仿宋_GB2312" w:eastAsia="仿宋_GB2312" w:cs="仿宋_GB2312"/>
          <w:color w:val="auto"/>
          <w:sz w:val="32"/>
          <w:szCs w:val="32"/>
        </w:rPr>
        <w:t>出让。建立健全社会信用制度，对恶性竞争、不</w:t>
      </w:r>
      <w:r>
        <w:rPr>
          <w:rFonts w:hint="eastAsia" w:ascii="仿宋_GB2312" w:hAnsi="仿宋_GB2312" w:eastAsia="仿宋_GB2312" w:cs="仿宋_GB2312"/>
          <w:color w:val="auto"/>
          <w:spacing w:val="-6"/>
          <w:sz w:val="32"/>
          <w:szCs w:val="32"/>
        </w:rPr>
        <w:t>守信用者，</w:t>
      </w:r>
      <w:r>
        <w:rPr>
          <w:rFonts w:hint="eastAsia" w:ascii="仿宋_GB2312" w:hAnsi="仿宋_GB2312" w:eastAsia="仿宋_GB2312" w:cs="仿宋_GB2312"/>
          <w:color w:val="auto"/>
          <w:spacing w:val="-6"/>
          <w:sz w:val="32"/>
          <w:szCs w:val="32"/>
          <w:lang w:val="en-US" w:eastAsia="zh-CN"/>
        </w:rPr>
        <w:t>依法依规采取惩戒性措施，</w:t>
      </w:r>
      <w:r>
        <w:rPr>
          <w:rFonts w:hint="eastAsia" w:ascii="仿宋_GB2312" w:hAnsi="仿宋_GB2312" w:eastAsia="仿宋_GB2312" w:cs="仿宋_GB2312"/>
          <w:color w:val="auto"/>
          <w:spacing w:val="-6"/>
          <w:sz w:val="32"/>
          <w:szCs w:val="32"/>
        </w:rPr>
        <w:t>对违约者追究其缔约责</w:t>
      </w:r>
      <w:r>
        <w:rPr>
          <w:rFonts w:hint="eastAsia" w:ascii="仿宋" w:hAnsi="仿宋" w:eastAsia="仿宋" w:cs="仿宋"/>
          <w:color w:val="auto"/>
          <w:spacing w:val="-6"/>
          <w:sz w:val="32"/>
          <w:szCs w:val="32"/>
        </w:rPr>
        <w:t>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eastAsia="zh-CN"/>
        </w:rPr>
        <w:t>四</w:t>
      </w:r>
      <w:r>
        <w:rPr>
          <w:rFonts w:hint="eastAsia" w:ascii="楷体_GB2312" w:hAnsi="楷体_GB2312" w:eastAsia="楷体_GB2312" w:cs="楷体_GB2312"/>
          <w:b/>
          <w:bCs/>
          <w:color w:val="auto"/>
          <w:sz w:val="32"/>
          <w:szCs w:val="32"/>
        </w:rPr>
        <w:t>）强化矿业权出让监管相关工作经费保障。</w:t>
      </w:r>
      <w:r>
        <w:rPr>
          <w:rFonts w:hint="eastAsia" w:ascii="仿宋_GB2312" w:hAnsi="仿宋_GB2312" w:eastAsia="仿宋_GB2312" w:cs="仿宋_GB2312"/>
          <w:color w:val="auto"/>
          <w:sz w:val="32"/>
          <w:szCs w:val="32"/>
        </w:rPr>
        <w:t>坚持公开、公正、公平选取“中介机构”和各类专家。强化对矿业权出让监管相关工作经费的保障，严禁由矿业权人、矿业权申请人、意向人出资、垫资。规范项目采购和招标管理，财政出资的矿产资源领域</w:t>
      </w:r>
      <w:r>
        <w:rPr>
          <w:rFonts w:hint="eastAsia" w:ascii="仿宋_GB2312" w:hAnsi="仿宋_GB2312" w:eastAsia="仿宋_GB2312" w:cs="仿宋_GB2312"/>
          <w:color w:val="auto"/>
          <w:sz w:val="32"/>
          <w:szCs w:val="32"/>
          <w:lang w:eastAsia="zh-CN"/>
        </w:rPr>
        <w:t>地质勘查、储量评估、“三合一”方案编制等</w:t>
      </w:r>
      <w:r>
        <w:rPr>
          <w:rFonts w:hint="eastAsia" w:ascii="仿宋_GB2312" w:hAnsi="仿宋_GB2312" w:eastAsia="仿宋_GB2312" w:cs="仿宋_GB2312"/>
          <w:color w:val="auto"/>
          <w:sz w:val="32"/>
          <w:szCs w:val="32"/>
        </w:rPr>
        <w:t>项目，严格按照政府采购法、招投标法等规定依法依规实施。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五</w:t>
      </w:r>
      <w:r>
        <w:rPr>
          <w:rFonts w:hint="eastAsia" w:ascii="楷体_GB2312" w:hAnsi="楷体_GB2312" w:eastAsia="楷体_GB2312" w:cs="楷体_GB2312"/>
          <w:b/>
          <w:bCs/>
          <w:color w:val="auto"/>
          <w:sz w:val="32"/>
          <w:szCs w:val="32"/>
        </w:rPr>
        <w:t>）规范工程建设项目砂石土管理。</w:t>
      </w:r>
      <w:r>
        <w:rPr>
          <w:rFonts w:hint="eastAsia" w:ascii="仿宋_GB2312" w:hAnsi="仿宋_GB2312" w:eastAsia="仿宋_GB2312" w:cs="仿宋_GB2312"/>
          <w:b w:val="0"/>
          <w:bCs w:val="0"/>
          <w:color w:val="auto"/>
          <w:sz w:val="32"/>
          <w:szCs w:val="32"/>
          <w:lang w:eastAsia="zh-CN"/>
        </w:rPr>
        <w:t>经</w:t>
      </w:r>
      <w:r>
        <w:rPr>
          <w:rFonts w:hint="eastAsia" w:ascii="仿宋_GB2312" w:hAnsi="仿宋_GB2312" w:eastAsia="仿宋_GB2312" w:cs="仿宋_GB2312"/>
          <w:color w:val="auto"/>
          <w:sz w:val="32"/>
          <w:szCs w:val="32"/>
        </w:rPr>
        <w:t>县级以上人民政府批准设立的工程建设项目</w:t>
      </w:r>
      <w:r>
        <w:rPr>
          <w:rFonts w:hint="eastAsia" w:ascii="仿宋_GB2312" w:hAnsi="仿宋_GB2312" w:eastAsia="仿宋_GB2312" w:cs="仿宋_GB2312"/>
          <w:color w:val="auto"/>
          <w:sz w:val="32"/>
          <w:szCs w:val="32"/>
          <w:lang w:val="en-US" w:eastAsia="zh-CN"/>
        </w:rPr>
        <w:t>（包括：土地整治、设施农业用地、临时取土区、收储用地、地质灾害防治工程治理、应急抢险排险、建筑工程、交通基础设施工程、国土空间生态修复工程项目等）</w:t>
      </w:r>
      <w:r>
        <w:rPr>
          <w:rFonts w:hint="eastAsia" w:ascii="仿宋_GB2312" w:hAnsi="仿宋_GB2312" w:eastAsia="仿宋_GB2312" w:cs="仿宋_GB2312"/>
          <w:color w:val="auto"/>
          <w:sz w:val="32"/>
          <w:szCs w:val="32"/>
        </w:rPr>
        <w:t>，在批准占地范围及施工期间因工程建设需要采挖砂石土的，不需办理采矿登记，采挖出的砂石土仅可用于本工程建设项目，自用以外确有剩余的，不得</w:t>
      </w:r>
      <w:r>
        <w:rPr>
          <w:rFonts w:hint="eastAsia" w:ascii="仿宋_GB2312" w:hAnsi="仿宋_GB2312" w:eastAsia="仿宋_GB2312" w:cs="仿宋_GB2312"/>
          <w:color w:val="auto"/>
          <w:sz w:val="32"/>
          <w:szCs w:val="32"/>
          <w:lang w:val="en-US" w:eastAsia="zh-CN"/>
        </w:rPr>
        <w:t>擅自</w:t>
      </w:r>
      <w:r>
        <w:rPr>
          <w:rFonts w:hint="eastAsia" w:ascii="仿宋_GB2312" w:hAnsi="仿宋_GB2312" w:eastAsia="仿宋_GB2312" w:cs="仿宋_GB2312"/>
          <w:color w:val="auto"/>
          <w:sz w:val="32"/>
          <w:szCs w:val="32"/>
        </w:rPr>
        <w:t>对外进行销售</w:t>
      </w:r>
      <w:r>
        <w:rPr>
          <w:rFonts w:hint="eastAsia" w:ascii="仿宋_GB2312" w:hAnsi="仿宋_GB2312" w:eastAsia="仿宋_GB2312" w:cs="仿宋_GB2312"/>
          <w:color w:val="auto"/>
          <w:sz w:val="32"/>
          <w:szCs w:val="32"/>
          <w:lang w:eastAsia="zh-CN"/>
        </w:rPr>
        <w:t>。工程项目建设砂石余土的处置程序：</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由项目所在地乡镇（中心）向县自然资源部门局提出申请，并提交项目相关的合法批复材料（包括立项批复、用地、用林、环保、安全等）及设计方案；（2）县自然资源局对申请报告及材料进行合规性、真实性审核，明确提出处置意见，报县国资办审批；（3）县国资办依照国有资产处置相关规定进行审批，并对处置过程实施全程监管。</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四、强化矿产资源监督管理</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rPr>
        <w:t>（一）严格落实属地管理责任。</w:t>
      </w:r>
      <w:r>
        <w:rPr>
          <w:rFonts w:hint="eastAsia" w:ascii="仿宋_GB2312" w:hAnsi="仿宋_GB2312" w:eastAsia="仿宋_GB2312" w:cs="仿宋_GB2312"/>
          <w:color w:val="auto"/>
          <w:sz w:val="32"/>
          <w:szCs w:val="32"/>
          <w:lang w:eastAsia="zh-CN"/>
        </w:rPr>
        <w:t>乡镇（中心）</w:t>
      </w:r>
      <w:r>
        <w:rPr>
          <w:rFonts w:hint="eastAsia" w:ascii="仿宋_GB2312" w:hAnsi="仿宋_GB2312" w:eastAsia="仿宋_GB2312" w:cs="仿宋_GB2312"/>
          <w:color w:val="auto"/>
          <w:sz w:val="32"/>
          <w:szCs w:val="32"/>
        </w:rPr>
        <w:t>负有本</w:t>
      </w:r>
      <w:r>
        <w:rPr>
          <w:rFonts w:hint="eastAsia" w:ascii="仿宋_GB2312" w:hAnsi="仿宋_GB2312" w:eastAsia="仿宋_GB2312" w:cs="仿宋_GB2312"/>
          <w:color w:val="auto"/>
          <w:sz w:val="32"/>
          <w:szCs w:val="32"/>
          <w:lang w:eastAsia="zh-CN"/>
        </w:rPr>
        <w:t>辖区</w:t>
      </w:r>
      <w:r>
        <w:rPr>
          <w:rFonts w:hint="eastAsia" w:ascii="仿宋_GB2312" w:hAnsi="仿宋_GB2312" w:eastAsia="仿宋_GB2312" w:cs="仿宋_GB2312"/>
          <w:color w:val="auto"/>
          <w:sz w:val="32"/>
          <w:szCs w:val="32"/>
        </w:rPr>
        <w:t>内矿产资源的保护责任，维护本</w:t>
      </w:r>
      <w:r>
        <w:rPr>
          <w:rFonts w:hint="eastAsia" w:ascii="仿宋_GB2312" w:hAnsi="仿宋_GB2312" w:eastAsia="仿宋_GB2312" w:cs="仿宋_GB2312"/>
          <w:color w:val="auto"/>
          <w:sz w:val="32"/>
          <w:szCs w:val="32"/>
          <w:lang w:eastAsia="zh-CN"/>
        </w:rPr>
        <w:t>辖区</w:t>
      </w:r>
      <w:r>
        <w:rPr>
          <w:rFonts w:hint="eastAsia" w:ascii="仿宋_GB2312" w:hAnsi="仿宋_GB2312" w:eastAsia="仿宋_GB2312" w:cs="仿宋_GB2312"/>
          <w:color w:val="auto"/>
          <w:sz w:val="32"/>
          <w:szCs w:val="32"/>
        </w:rPr>
        <w:t>内矿产资源的国家所有权，维护矿业秩序。严格落实属地管理，压实</w:t>
      </w:r>
      <w:r>
        <w:rPr>
          <w:rFonts w:hint="eastAsia" w:ascii="仿宋_GB2312" w:hAnsi="仿宋_GB2312" w:eastAsia="仿宋_GB2312" w:cs="仿宋_GB2312"/>
          <w:color w:val="auto"/>
          <w:sz w:val="32"/>
          <w:szCs w:val="32"/>
          <w:lang w:eastAsia="zh-CN"/>
        </w:rPr>
        <w:t>乡镇（中心）、部门</w:t>
      </w:r>
      <w:r>
        <w:rPr>
          <w:rFonts w:hint="eastAsia" w:ascii="仿宋_GB2312" w:hAnsi="仿宋_GB2312" w:eastAsia="仿宋_GB2312" w:cs="仿宋_GB2312"/>
          <w:color w:val="auto"/>
          <w:sz w:val="32"/>
          <w:szCs w:val="32"/>
        </w:rPr>
        <w:t>监管责任，建立健</w:t>
      </w:r>
      <w:r>
        <w:rPr>
          <w:rFonts w:hint="eastAsia" w:ascii="仿宋_GB2312" w:hAnsi="仿宋_GB2312" w:eastAsia="仿宋_GB2312" w:cs="仿宋_GB2312"/>
          <w:color w:val="auto"/>
          <w:sz w:val="32"/>
          <w:szCs w:val="32"/>
          <w:lang w:eastAsia="zh-CN"/>
        </w:rPr>
        <w:t>全县、乡、村、组</w:t>
      </w:r>
      <w:r>
        <w:rPr>
          <w:rFonts w:hint="eastAsia" w:ascii="仿宋_GB2312" w:hAnsi="仿宋_GB2312" w:eastAsia="仿宋_GB2312" w:cs="仿宋_GB2312"/>
          <w:color w:val="auto"/>
          <w:sz w:val="32"/>
          <w:szCs w:val="32"/>
        </w:rPr>
        <w:t>四级打击非法开采和非法买卖矿产资源工作机制。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楷体_GB2312" w:hAnsi="楷体_GB2312" w:eastAsia="楷体_GB2312" w:cs="楷体_GB2312"/>
          <w:b/>
          <w:bCs/>
          <w:color w:val="auto"/>
          <w:sz w:val="32"/>
          <w:szCs w:val="32"/>
        </w:rPr>
        <w:t>（二）建立部门联合监管机制。</w:t>
      </w:r>
      <w:r>
        <w:rPr>
          <w:rFonts w:hint="eastAsia" w:ascii="仿宋_GB2312" w:hAnsi="仿宋_GB2312" w:eastAsia="仿宋_GB2312" w:cs="仿宋_GB2312"/>
          <w:color w:val="auto"/>
          <w:sz w:val="32"/>
          <w:szCs w:val="32"/>
        </w:rPr>
        <w:t>进一步理清部门监管职责边界，根据职能分工，建立由</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自然资源</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牵头，</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公安</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上饶市铅山</w:t>
      </w:r>
      <w:r>
        <w:rPr>
          <w:rFonts w:hint="eastAsia" w:ascii="仿宋_GB2312" w:hAnsi="仿宋_GB2312" w:eastAsia="仿宋_GB2312" w:cs="仿宋_GB2312"/>
          <w:color w:val="auto"/>
          <w:sz w:val="32"/>
          <w:szCs w:val="32"/>
        </w:rPr>
        <w:t>生态环境</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应急管理</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水利</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林业</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交通运输</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市场监督</w:t>
      </w:r>
      <w:r>
        <w:rPr>
          <w:rFonts w:hint="eastAsia" w:ascii="仿宋_GB2312" w:hAnsi="仿宋_GB2312" w:eastAsia="仿宋_GB2312" w:cs="仿宋_GB2312"/>
          <w:color w:val="auto"/>
          <w:sz w:val="32"/>
          <w:szCs w:val="32"/>
          <w:lang w:eastAsia="zh-CN"/>
        </w:rPr>
        <w:t>管理局</w:t>
      </w:r>
      <w:r>
        <w:rPr>
          <w:rFonts w:hint="eastAsia" w:ascii="仿宋_GB2312" w:hAnsi="仿宋_GB2312" w:eastAsia="仿宋_GB2312" w:cs="仿宋_GB2312"/>
          <w:color w:val="auto"/>
          <w:sz w:val="32"/>
          <w:szCs w:val="32"/>
        </w:rPr>
        <w:t>等部门参加的监管联席会议制度。定期召开联席会议，通报矿山和工程建设项目的生产活动情况、违法违规行为，研究、讨论、督促各部门依法依规查处打击矿产资源开发、运输、流通、生态保护中的各类违法违规行为。对涉及安全、环保等重大违法违规问题的，及时向</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政府报告，必要时提请政府予以关闭。</w:t>
      </w:r>
      <w:r>
        <w:rPr>
          <w:rFonts w:hint="eastAsia" w:ascii="仿宋_GB2312" w:hAnsi="仿宋_GB2312" w:eastAsia="仿宋_GB2312" w:cs="仿宋_GB2312"/>
          <w:color w:val="auto"/>
          <w:sz w:val="32"/>
          <w:szCs w:val="32"/>
          <w:lang w:val="en-US" w:eastAsia="zh-CN"/>
        </w:rPr>
        <w:t>自然资源局部门要</w:t>
      </w:r>
      <w:r>
        <w:rPr>
          <w:rFonts w:hint="eastAsia" w:ascii="仿宋_GB2312" w:hAnsi="仿宋_GB2312" w:eastAsia="仿宋_GB2312" w:cs="仿宋_GB2312"/>
          <w:color w:val="auto"/>
          <w:kern w:val="0"/>
          <w:sz w:val="32"/>
          <w:szCs w:val="32"/>
          <w:lang w:val="en-US" w:eastAsia="zh-CN" w:bidi="ar"/>
        </w:rPr>
        <w:t>提前介入，源头管控，对</w:t>
      </w:r>
      <w:r>
        <w:rPr>
          <w:rFonts w:hint="eastAsia" w:ascii="仿宋_GB2312" w:hAnsi="仿宋_GB2312" w:eastAsia="仿宋_GB2312" w:cs="仿宋_GB2312"/>
          <w:color w:val="auto"/>
          <w:sz w:val="32"/>
          <w:szCs w:val="32"/>
          <w:lang w:val="en-US" w:eastAsia="zh-CN"/>
        </w:rPr>
        <w:t>土地整治、设施农业用地、临时取土区、收储用地、地质灾害防治工程治理、应急抢险排险、建筑工程、交通基础设施工程、国土空间生态修复工程</w:t>
      </w:r>
      <w:r>
        <w:rPr>
          <w:rFonts w:hint="eastAsia" w:ascii="仿宋_GB2312" w:hAnsi="仿宋_GB2312" w:eastAsia="仿宋_GB2312" w:cs="仿宋_GB2312"/>
          <w:color w:val="auto"/>
          <w:kern w:val="0"/>
          <w:sz w:val="32"/>
          <w:szCs w:val="32"/>
          <w:lang w:val="en-US" w:eastAsia="zh-CN" w:bidi="ar"/>
        </w:rPr>
        <w:t>等项目涉及的砂石余土处置进行合法性审查，对项目施工设计方案涉及到的砂石储量进行审查，坚决杜决以矿山修复、地质灾害治理、临时用地等为名，行非法开采矿产资源为实的现象发生。</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rPr>
        <w:t>（三）严厉打击非法开采和非法买卖矿产品行为。</w:t>
      </w:r>
      <w:r>
        <w:rPr>
          <w:rFonts w:hint="eastAsia" w:ascii="仿宋_GB2312" w:hAnsi="仿宋_GB2312" w:eastAsia="仿宋_GB2312" w:cs="仿宋_GB2312"/>
          <w:color w:val="auto"/>
          <w:sz w:val="32"/>
          <w:szCs w:val="32"/>
        </w:rPr>
        <w:t>加强动态巡查，对巡查过程中发现的非法行为，乡、村两级组织要第一时间报告；</w:t>
      </w:r>
      <w:r>
        <w:rPr>
          <w:rFonts w:hint="eastAsia" w:ascii="仿宋_GB2312" w:hAnsi="仿宋_GB2312" w:eastAsia="仿宋_GB2312" w:cs="仿宋_GB2312"/>
          <w:color w:val="auto"/>
          <w:sz w:val="32"/>
          <w:szCs w:val="32"/>
          <w:lang w:eastAsia="zh-CN"/>
        </w:rPr>
        <w:t>相关</w:t>
      </w:r>
      <w:r>
        <w:rPr>
          <w:rFonts w:hint="eastAsia" w:ascii="仿宋_GB2312" w:hAnsi="仿宋_GB2312" w:eastAsia="仿宋_GB2312" w:cs="仿宋_GB2312"/>
          <w:color w:val="auto"/>
          <w:sz w:val="32"/>
          <w:szCs w:val="32"/>
        </w:rPr>
        <w:t>执法部门要及时核查、制止、查处和移送；各级公安机关要全力支持配合巡查人员开展巡查任务，及时处置阻碍监管、巡查人员依法履职的行为，形成“纵向+横向”的长效管理机制。对不报告、报告不及时、核查不力、查处不到位、移送不落实的行为移送纪检监察机关追究相关责任人责任。坚持依法保障权益与严厉打击结合，对存在重大违法违规行为的矿山坚决依法关闭，对一般性违规行为依法依规实施行政处罚。</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rPr>
        <w:t>（四）大力推进矿山生态修复治理，全面推进绿色矿山建设。</w:t>
      </w:r>
      <w:r>
        <w:rPr>
          <w:rFonts w:hint="eastAsia" w:ascii="仿宋_GB2312" w:hAnsi="仿宋_GB2312" w:eastAsia="仿宋_GB2312" w:cs="仿宋_GB2312"/>
          <w:color w:val="auto"/>
          <w:sz w:val="32"/>
          <w:szCs w:val="32"/>
        </w:rPr>
        <w:t>坚持绿色发展、生态优先，努力实现“矿区环境生态化、开采方式科学化、资源利用高效化、企业管理规范化、矿区社区和谐化”的绿色矿山目标。实施采矿权出让合同管理，明确绿色矿山建设要求和矿山地质环境保护等法定义务。按照“谁开采、谁治理”的原则，建立健全矿山恢复治理动态平衡、地质环境修复治理基金管理等制度，大力推进在采矿山边开采、边治理。加大废弃矿山和政策性关闭矿山生态修复力度，积极探索利用市场化方式推进矿山生态修复，确保“年度净增矿山恢复治理面积”为正值。</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本意见自印发之日起施行。</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textAlignment w:val="auto"/>
        <w:rPr>
          <w:rFonts w:hint="eastAsia" w:ascii="仿宋_GB2312" w:hAnsi="仿宋_GB2312" w:eastAsia="仿宋_GB2312" w:cs="仿宋_GB2312"/>
          <w:i w:val="0"/>
          <w:iCs w:val="0"/>
          <w:caps w:val="0"/>
          <w:color w:val="auto"/>
          <w:spacing w:val="0"/>
          <w:sz w:val="32"/>
          <w:szCs w:val="32"/>
          <w:shd w:val="clear" w:color="auto" w:fill="FFFFFF"/>
        </w:rPr>
      </w:pPr>
    </w:p>
    <w:p>
      <w:pPr>
        <w:keepNext w:val="0"/>
        <w:keepLines w:val="0"/>
        <w:pageBreakBefore w:val="0"/>
        <w:kinsoku/>
        <w:wordWrap/>
        <w:overflowPunct/>
        <w:topLinePunct w:val="0"/>
        <w:autoSpaceDE/>
        <w:autoSpaceDN/>
        <w:bidi w:val="0"/>
        <w:adjustRightInd/>
        <w:snapToGrid/>
        <w:spacing w:line="560" w:lineRule="exact"/>
        <w:textAlignment w:val="auto"/>
        <w:rPr>
          <w:color w:val="auto"/>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spacing w:beforeAutospacing="0" w:afterAutospacing="0" w:line="520" w:lineRule="exact"/>
        <w:ind w:left="0" w:leftChars="0" w:right="0" w:rightChars="0" w:firstLine="0" w:firstLineChars="0"/>
        <w:textAlignment w:val="auto"/>
        <w:rPr>
          <w:rFonts w:ascii="仿宋_GB2312" w:hAnsi="仿宋_GB2312" w:eastAsia="仿宋_GB2312" w:cs="仿宋_GB2312"/>
          <w:sz w:val="28"/>
          <w:szCs w:val="28"/>
          <w:u w:val="thick"/>
        </w:rPr>
      </w:pPr>
      <w:r>
        <w:rPr>
          <w:rFonts w:hint="eastAsia" w:ascii="仿宋_GB2312" w:hAnsi="仿宋_GB2312" w:eastAsia="仿宋_GB2312" w:cs="仿宋_GB2312"/>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仿宋_GB2312" w:hAnsi="仿宋_GB2312" w:eastAsia="仿宋_GB2312" w:cs="仿宋_GB2312"/>
          <w:sz w:val="28"/>
          <w:szCs w:val="28"/>
          <w:u w:val="thick"/>
        </w:rPr>
        <w:t xml:space="preserve">  铅山县人民政府办公室秘书</w:t>
      </w:r>
      <w:r>
        <w:rPr>
          <w:rFonts w:hint="eastAsia" w:ascii="仿宋_GB2312" w:hAnsi="仿宋_GB2312" w:eastAsia="仿宋_GB2312" w:cs="仿宋_GB2312"/>
          <w:sz w:val="28"/>
          <w:szCs w:val="28"/>
          <w:u w:val="thick"/>
          <w:lang w:eastAsia="zh-CN"/>
        </w:rPr>
        <w:t>股</w:t>
      </w:r>
      <w:r>
        <w:rPr>
          <w:rFonts w:hint="eastAsia" w:ascii="仿宋_GB2312" w:hAnsi="仿宋_GB2312" w:eastAsia="仿宋_GB2312" w:cs="仿宋_GB2312"/>
          <w:sz w:val="28"/>
          <w:szCs w:val="28"/>
          <w:u w:val="thick"/>
        </w:rPr>
        <w:t xml:space="preserve">           </w:t>
      </w:r>
      <w:r>
        <w:rPr>
          <w:rFonts w:hint="eastAsia" w:ascii="仿宋_GB2312" w:hAnsi="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202</w:t>
      </w:r>
      <w:r>
        <w:rPr>
          <w:rFonts w:hint="eastAsia" w:ascii="仿宋_GB2312" w:hAnsi="仿宋_GB2312" w:cs="仿宋_GB2312"/>
          <w:sz w:val="28"/>
          <w:szCs w:val="28"/>
          <w:u w:val="thick"/>
          <w:lang w:val="en-US" w:eastAsia="zh-CN"/>
        </w:rPr>
        <w:t>3</w:t>
      </w:r>
      <w:r>
        <w:rPr>
          <w:rFonts w:hint="eastAsia" w:ascii="仿宋_GB2312" w:hAnsi="仿宋_GB2312" w:eastAsia="仿宋_GB2312" w:cs="仿宋_GB2312"/>
          <w:sz w:val="28"/>
          <w:szCs w:val="28"/>
          <w:u w:val="thick"/>
        </w:rPr>
        <w:t>年</w:t>
      </w:r>
      <w:r>
        <w:rPr>
          <w:rFonts w:hint="eastAsia" w:ascii="仿宋_GB2312" w:hAnsi="仿宋_GB2312" w:cs="仿宋_GB2312"/>
          <w:sz w:val="28"/>
          <w:szCs w:val="28"/>
          <w:u w:val="thick"/>
          <w:lang w:val="en-US" w:eastAsia="zh-CN"/>
        </w:rPr>
        <w:t>2</w:t>
      </w:r>
      <w:r>
        <w:rPr>
          <w:rFonts w:hint="eastAsia" w:ascii="仿宋_GB2312" w:hAnsi="仿宋_GB2312" w:eastAsia="仿宋_GB2312" w:cs="仿宋_GB2312"/>
          <w:sz w:val="28"/>
          <w:szCs w:val="28"/>
          <w:u w:val="thick"/>
        </w:rPr>
        <w:t>月</w:t>
      </w:r>
      <w:r>
        <w:rPr>
          <w:rFonts w:hint="eastAsia" w:ascii="仿宋_GB2312" w:hAnsi="仿宋_GB2312" w:cs="仿宋_GB2312"/>
          <w:sz w:val="28"/>
          <w:szCs w:val="28"/>
          <w:u w:val="thick"/>
          <w:lang w:val="en-US" w:eastAsia="zh-CN"/>
        </w:rPr>
        <w:t>28</w:t>
      </w:r>
      <w:r>
        <w:rPr>
          <w:rFonts w:hint="eastAsia" w:ascii="仿宋_GB2312" w:hAnsi="仿宋_GB2312" w:eastAsia="仿宋_GB2312" w:cs="仿宋_GB2312"/>
          <w:sz w:val="28"/>
          <w:szCs w:val="28"/>
          <w:u w:val="thick"/>
        </w:rPr>
        <w:t xml:space="preserve">日印发  </w:t>
      </w:r>
      <w:r>
        <w:rPr>
          <w:rFonts w:hint="eastAsia" w:ascii="仿宋_GB2312" w:hAnsi="仿宋_GB2312" w:eastAsia="仿宋_GB2312" w:cs="仿宋_GB2312"/>
          <w:sz w:val="28"/>
          <w:szCs w:val="28"/>
          <w:u w:val="thick"/>
          <w:lang w:val="en-US" w:eastAsia="zh-CN"/>
        </w:rPr>
        <w:t xml:space="preserve"> </w:t>
      </w:r>
    </w:p>
    <w:p>
      <w:pPr>
        <w:spacing w:beforeLines="0" w:afterLines="0" w:line="600" w:lineRule="exact"/>
        <w:ind w:firstLine="0" w:firstLineChars="0"/>
        <w:jc w:val="center"/>
        <w:rPr>
          <w:rFonts w:hint="eastAsia" w:ascii="方正小标宋简体" w:hAnsi="方正小标宋简体" w:eastAsia="方正小标宋简体"/>
          <w:sz w:val="44"/>
          <w:szCs w:val="24"/>
        </w:rPr>
      </w:pPr>
      <w:r>
        <w:rPr>
          <w:rFonts w:hint="eastAsia" w:ascii="方正小标宋简体" w:hAnsi="方正小标宋简体" w:eastAsia="方正小标宋简体"/>
          <w:sz w:val="44"/>
          <w:szCs w:val="24"/>
        </w:rPr>
        <w:t>铅山县县级集中式饮用水水源地（伦潭水库）</w:t>
      </w:r>
    </w:p>
    <w:p>
      <w:pPr>
        <w:spacing w:beforeLines="0" w:afterLines="0" w:line="600" w:lineRule="exact"/>
        <w:ind w:firstLine="0" w:firstLineChars="0"/>
        <w:jc w:val="center"/>
        <w:rPr>
          <w:rFonts w:hint="eastAsia" w:ascii="方正小标宋简体" w:hAnsi="方正小标宋简体" w:eastAsia="方正小标宋简体"/>
          <w:sz w:val="44"/>
          <w:szCs w:val="24"/>
        </w:rPr>
      </w:pPr>
      <w:r>
        <w:rPr>
          <w:rFonts w:hint="eastAsia" w:ascii="方正小标宋简体" w:hAnsi="方正小标宋简体" w:eastAsia="方正小标宋简体"/>
          <w:sz w:val="44"/>
          <w:szCs w:val="24"/>
        </w:rPr>
        <w:t>突发环境事件应急预案</w:t>
      </w:r>
    </w:p>
    <w:p>
      <w:pPr>
        <w:pStyle w:val="21"/>
        <w:tabs>
          <w:tab w:val="right" w:leader="dot" w:pos="8306"/>
        </w:tabs>
        <w:spacing w:beforeLines="0" w:afterLines="0"/>
        <w:jc w:val="center"/>
        <w:rPr>
          <w:rFonts w:hint="eastAsia"/>
          <w:sz w:val="44"/>
          <w:szCs w:val="24"/>
        </w:rPr>
      </w:pPr>
    </w:p>
    <w:p>
      <w:pPr>
        <w:pStyle w:val="21"/>
        <w:tabs>
          <w:tab w:val="right" w:leader="dot" w:pos="8306"/>
        </w:tabs>
        <w:spacing w:beforeLines="0" w:afterLines="0"/>
        <w:jc w:val="center"/>
        <w:rPr>
          <w:rFonts w:hint="eastAsia"/>
          <w:sz w:val="36"/>
          <w:szCs w:val="24"/>
        </w:rPr>
      </w:pPr>
      <w:r>
        <w:rPr>
          <w:rFonts w:hint="eastAsia"/>
          <w:sz w:val="44"/>
          <w:szCs w:val="24"/>
        </w:rPr>
        <w:t>目录</w:t>
      </w:r>
    </w:p>
    <w:p>
      <w:pPr>
        <w:pStyle w:val="21"/>
        <w:tabs>
          <w:tab w:val="right" w:leader="dot" w:pos="8306"/>
        </w:tabs>
        <w:spacing w:beforeLines="0" w:afterLines="0"/>
        <w:rPr>
          <w:rFonts w:hint="eastAsia"/>
          <w:sz w:val="28"/>
          <w:szCs w:val="24"/>
        </w:rPr>
      </w:pPr>
      <w:r>
        <w:rPr>
          <w:rFonts w:hint="eastAsia"/>
          <w:sz w:val="36"/>
          <w:szCs w:val="24"/>
        </w:rPr>
        <w:fldChar w:fldCharType="begin"/>
      </w:r>
      <w:r>
        <w:rPr>
          <w:rFonts w:hint="eastAsia"/>
          <w:sz w:val="36"/>
          <w:szCs w:val="24"/>
        </w:rPr>
        <w:instrText xml:space="preserve">TOC \o "1-4" \h \u </w:instrText>
      </w:r>
      <w:r>
        <w:rPr>
          <w:rFonts w:hint="eastAsia"/>
          <w:sz w:val="36"/>
          <w:szCs w:val="24"/>
        </w:rPr>
        <w:fldChar w:fldCharType="separate"/>
      </w:r>
      <w:r>
        <w:rPr>
          <w:rFonts w:hint="eastAsia"/>
          <w:sz w:val="28"/>
          <w:szCs w:val="24"/>
        </w:rPr>
        <w:fldChar w:fldCharType="begin"/>
      </w:r>
      <w:r>
        <w:rPr>
          <w:rFonts w:hint="eastAsia"/>
          <w:sz w:val="28"/>
          <w:szCs w:val="24"/>
        </w:rPr>
        <w:instrText xml:space="preserve"> HYPERLINK \l _Toc31811 </w:instrText>
      </w:r>
      <w:r>
        <w:rPr>
          <w:rFonts w:hint="eastAsia"/>
          <w:sz w:val="28"/>
          <w:szCs w:val="24"/>
        </w:rPr>
        <w:fldChar w:fldCharType="separate"/>
      </w:r>
      <w:r>
        <w:rPr>
          <w:rFonts w:hint="eastAsia" w:eastAsia="Times New Roman"/>
          <w:sz w:val="28"/>
          <w:szCs w:val="24"/>
        </w:rPr>
        <w:t xml:space="preserve">1 </w:t>
      </w:r>
      <w:r>
        <w:rPr>
          <w:rFonts w:hint="eastAsia"/>
          <w:sz w:val="28"/>
          <w:szCs w:val="24"/>
        </w:rPr>
        <w:t>总则</w:t>
      </w:r>
      <w:r>
        <w:rPr>
          <w:rFonts w:hint="eastAsia"/>
          <w:sz w:val="28"/>
          <w:szCs w:val="24"/>
        </w:rPr>
        <w:tab/>
      </w:r>
      <w:r>
        <w:rPr>
          <w:rFonts w:hint="eastAsia"/>
          <w:sz w:val="28"/>
          <w:szCs w:val="24"/>
        </w:rPr>
        <w:fldChar w:fldCharType="begin"/>
      </w:r>
      <w:r>
        <w:rPr>
          <w:rFonts w:hint="eastAsia"/>
          <w:sz w:val="28"/>
          <w:szCs w:val="24"/>
        </w:rPr>
        <w:instrText xml:space="preserve"> PAGEREF _Toc31811 </w:instrText>
      </w:r>
      <w:r>
        <w:rPr>
          <w:rFonts w:hint="eastAsia"/>
          <w:sz w:val="28"/>
          <w:szCs w:val="24"/>
        </w:rPr>
        <w:fldChar w:fldCharType="separate"/>
      </w:r>
      <w:r>
        <w:rPr>
          <w:rFonts w:hint="eastAsia"/>
          <w:sz w:val="28"/>
          <w:szCs w:val="24"/>
        </w:rPr>
        <w:t>- 1 -</w:t>
      </w:r>
      <w:r>
        <w:rPr>
          <w:rFonts w:hint="eastAsia"/>
          <w:sz w:val="28"/>
          <w:szCs w:val="24"/>
        </w:rPr>
        <w:fldChar w:fldCharType="end"/>
      </w:r>
      <w:r>
        <w:rPr>
          <w:rFonts w:hint="eastAsia"/>
          <w:sz w:val="28"/>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_Toc17804 </w:instrText>
      </w:r>
      <w:r>
        <w:rPr>
          <w:rFonts w:hint="eastAsia"/>
          <w:sz w:val="21"/>
          <w:szCs w:val="24"/>
        </w:rPr>
        <w:fldChar w:fldCharType="separate"/>
      </w:r>
      <w:r>
        <w:rPr>
          <w:rFonts w:hint="eastAsia" w:eastAsia="Times New Roman"/>
          <w:sz w:val="21"/>
          <w:szCs w:val="24"/>
        </w:rPr>
        <w:t xml:space="preserve">1.1 </w:t>
      </w:r>
      <w:r>
        <w:rPr>
          <w:rFonts w:hint="eastAsia"/>
          <w:sz w:val="21"/>
          <w:szCs w:val="24"/>
        </w:rPr>
        <w:t>编制目的</w:t>
      </w:r>
      <w:r>
        <w:rPr>
          <w:rFonts w:hint="eastAsia"/>
          <w:sz w:val="21"/>
          <w:szCs w:val="24"/>
        </w:rPr>
        <w:tab/>
      </w:r>
      <w:r>
        <w:rPr>
          <w:rFonts w:hint="eastAsia"/>
          <w:sz w:val="21"/>
          <w:szCs w:val="24"/>
        </w:rPr>
        <w:fldChar w:fldCharType="begin"/>
      </w:r>
      <w:r>
        <w:rPr>
          <w:rFonts w:hint="eastAsia"/>
          <w:sz w:val="21"/>
          <w:szCs w:val="24"/>
        </w:rPr>
        <w:instrText xml:space="preserve"> PAGEREF _Toc17804 </w:instrText>
      </w:r>
      <w:r>
        <w:rPr>
          <w:rFonts w:hint="eastAsia"/>
          <w:sz w:val="21"/>
          <w:szCs w:val="24"/>
        </w:rPr>
        <w:fldChar w:fldCharType="separate"/>
      </w:r>
      <w:r>
        <w:rPr>
          <w:rFonts w:hint="eastAsia"/>
          <w:sz w:val="21"/>
          <w:szCs w:val="24"/>
        </w:rPr>
        <w:t>- 1 -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_Toc3686 </w:instrText>
      </w:r>
      <w:r>
        <w:rPr>
          <w:rFonts w:hint="eastAsia"/>
          <w:sz w:val="21"/>
          <w:szCs w:val="24"/>
        </w:rPr>
        <w:fldChar w:fldCharType="separate"/>
      </w:r>
      <w:r>
        <w:rPr>
          <w:rFonts w:hint="eastAsia" w:eastAsia="Times New Roman"/>
          <w:sz w:val="21"/>
          <w:szCs w:val="24"/>
        </w:rPr>
        <w:t xml:space="preserve">1.2 </w:t>
      </w:r>
      <w:r>
        <w:rPr>
          <w:rFonts w:hint="eastAsia"/>
          <w:sz w:val="21"/>
          <w:szCs w:val="24"/>
        </w:rPr>
        <w:t>编制依据</w:t>
      </w:r>
      <w:r>
        <w:rPr>
          <w:rFonts w:hint="eastAsia"/>
          <w:sz w:val="21"/>
          <w:szCs w:val="24"/>
        </w:rPr>
        <w:tab/>
      </w:r>
      <w:r>
        <w:rPr>
          <w:rFonts w:hint="eastAsia"/>
          <w:sz w:val="21"/>
          <w:szCs w:val="24"/>
        </w:rPr>
        <w:fldChar w:fldCharType="begin"/>
      </w:r>
      <w:r>
        <w:rPr>
          <w:rFonts w:hint="eastAsia"/>
          <w:sz w:val="21"/>
          <w:szCs w:val="24"/>
        </w:rPr>
        <w:instrText xml:space="preserve"> PAGEREF _Toc3686 </w:instrText>
      </w:r>
      <w:r>
        <w:rPr>
          <w:rFonts w:hint="eastAsia"/>
          <w:sz w:val="21"/>
          <w:szCs w:val="24"/>
        </w:rPr>
        <w:fldChar w:fldCharType="separate"/>
      </w:r>
      <w:r>
        <w:rPr>
          <w:rFonts w:hint="eastAsia"/>
          <w:sz w:val="21"/>
          <w:szCs w:val="24"/>
        </w:rPr>
        <w:t>- 1 -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_Toc29670 </w:instrText>
      </w:r>
      <w:r>
        <w:rPr>
          <w:rFonts w:hint="eastAsia"/>
          <w:sz w:val="21"/>
          <w:szCs w:val="24"/>
        </w:rPr>
        <w:fldChar w:fldCharType="separate"/>
      </w:r>
      <w:r>
        <w:rPr>
          <w:rFonts w:hint="eastAsia" w:eastAsia="Times New Roman"/>
          <w:sz w:val="21"/>
          <w:szCs w:val="24"/>
        </w:rPr>
        <w:t xml:space="preserve">1.2.1 </w:t>
      </w:r>
      <w:r>
        <w:rPr>
          <w:rFonts w:hint="eastAsia"/>
          <w:sz w:val="21"/>
          <w:szCs w:val="24"/>
        </w:rPr>
        <w:t>法律、法规和规章</w:t>
      </w:r>
      <w:r>
        <w:rPr>
          <w:rFonts w:hint="eastAsia"/>
          <w:sz w:val="21"/>
          <w:szCs w:val="24"/>
        </w:rPr>
        <w:tab/>
      </w:r>
      <w:r>
        <w:rPr>
          <w:rFonts w:hint="eastAsia"/>
          <w:sz w:val="21"/>
          <w:szCs w:val="24"/>
        </w:rPr>
        <w:fldChar w:fldCharType="begin"/>
      </w:r>
      <w:r>
        <w:rPr>
          <w:rFonts w:hint="eastAsia"/>
          <w:sz w:val="21"/>
          <w:szCs w:val="24"/>
        </w:rPr>
        <w:instrText xml:space="preserve"> PAGEREF _Toc29670 </w:instrText>
      </w:r>
      <w:r>
        <w:rPr>
          <w:rFonts w:hint="eastAsia"/>
          <w:sz w:val="21"/>
          <w:szCs w:val="24"/>
        </w:rPr>
        <w:fldChar w:fldCharType="separate"/>
      </w:r>
      <w:r>
        <w:rPr>
          <w:rFonts w:hint="eastAsia"/>
          <w:sz w:val="21"/>
          <w:szCs w:val="24"/>
        </w:rPr>
        <w:t>- 1 -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_Toc14506 </w:instrText>
      </w:r>
      <w:r>
        <w:rPr>
          <w:rFonts w:hint="eastAsia"/>
          <w:sz w:val="21"/>
          <w:szCs w:val="24"/>
        </w:rPr>
        <w:fldChar w:fldCharType="separate"/>
      </w:r>
      <w:r>
        <w:rPr>
          <w:rFonts w:hint="eastAsia" w:eastAsia="Times New Roman"/>
          <w:sz w:val="21"/>
          <w:szCs w:val="24"/>
        </w:rPr>
        <w:t xml:space="preserve">1.2.2 </w:t>
      </w:r>
      <w:r>
        <w:rPr>
          <w:rFonts w:hint="eastAsia"/>
          <w:sz w:val="21"/>
          <w:szCs w:val="24"/>
        </w:rPr>
        <w:t>有关预案、标准规范和规范性文件</w:t>
      </w:r>
      <w:r>
        <w:rPr>
          <w:rFonts w:hint="eastAsia"/>
          <w:sz w:val="21"/>
          <w:szCs w:val="24"/>
        </w:rPr>
        <w:tab/>
      </w:r>
      <w:r>
        <w:rPr>
          <w:rFonts w:hint="eastAsia"/>
          <w:sz w:val="21"/>
          <w:szCs w:val="24"/>
        </w:rPr>
        <w:fldChar w:fldCharType="begin"/>
      </w:r>
      <w:r>
        <w:rPr>
          <w:rFonts w:hint="eastAsia"/>
          <w:sz w:val="21"/>
          <w:szCs w:val="24"/>
        </w:rPr>
        <w:instrText xml:space="preserve"> PAGEREF _Toc14506 </w:instrText>
      </w:r>
      <w:r>
        <w:rPr>
          <w:rFonts w:hint="eastAsia"/>
          <w:sz w:val="21"/>
          <w:szCs w:val="24"/>
        </w:rPr>
        <w:fldChar w:fldCharType="separate"/>
      </w:r>
      <w:r>
        <w:rPr>
          <w:rFonts w:hint="eastAsia"/>
          <w:sz w:val="21"/>
          <w:szCs w:val="24"/>
        </w:rPr>
        <w:t>- 2 -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_Toc10819 </w:instrText>
      </w:r>
      <w:r>
        <w:rPr>
          <w:rFonts w:hint="eastAsia"/>
          <w:sz w:val="21"/>
          <w:szCs w:val="24"/>
        </w:rPr>
        <w:fldChar w:fldCharType="separate"/>
      </w:r>
      <w:r>
        <w:rPr>
          <w:rFonts w:hint="eastAsia" w:eastAsia="Times New Roman"/>
          <w:sz w:val="21"/>
          <w:szCs w:val="24"/>
        </w:rPr>
        <w:t xml:space="preserve">1.3 </w:t>
      </w:r>
      <w:r>
        <w:rPr>
          <w:rFonts w:hint="eastAsia"/>
          <w:sz w:val="21"/>
          <w:szCs w:val="24"/>
        </w:rPr>
        <w:t>适用范围</w:t>
      </w:r>
      <w:r>
        <w:rPr>
          <w:rFonts w:hint="eastAsia"/>
          <w:sz w:val="21"/>
          <w:szCs w:val="24"/>
        </w:rPr>
        <w:tab/>
      </w:r>
      <w:r>
        <w:rPr>
          <w:rFonts w:hint="eastAsia"/>
          <w:sz w:val="21"/>
          <w:szCs w:val="24"/>
        </w:rPr>
        <w:fldChar w:fldCharType="begin"/>
      </w:r>
      <w:r>
        <w:rPr>
          <w:rFonts w:hint="eastAsia"/>
          <w:sz w:val="21"/>
          <w:szCs w:val="24"/>
        </w:rPr>
        <w:instrText xml:space="preserve"> PAGEREF _Toc10819 </w:instrText>
      </w:r>
      <w:r>
        <w:rPr>
          <w:rFonts w:hint="eastAsia"/>
          <w:sz w:val="21"/>
          <w:szCs w:val="24"/>
        </w:rPr>
        <w:fldChar w:fldCharType="separate"/>
      </w:r>
      <w:r>
        <w:rPr>
          <w:rFonts w:hint="eastAsia"/>
          <w:sz w:val="21"/>
          <w:szCs w:val="24"/>
        </w:rPr>
        <w:t>- 3 -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_Toc30396 </w:instrText>
      </w:r>
      <w:r>
        <w:rPr>
          <w:rFonts w:hint="eastAsia"/>
          <w:sz w:val="21"/>
          <w:szCs w:val="24"/>
        </w:rPr>
        <w:fldChar w:fldCharType="separate"/>
      </w:r>
      <w:r>
        <w:rPr>
          <w:rFonts w:hint="eastAsia" w:eastAsia="Times New Roman"/>
          <w:sz w:val="21"/>
          <w:szCs w:val="24"/>
        </w:rPr>
        <w:t xml:space="preserve">1.3.1 </w:t>
      </w:r>
      <w:r>
        <w:rPr>
          <w:rFonts w:hint="eastAsia"/>
          <w:sz w:val="21"/>
          <w:szCs w:val="24"/>
        </w:rPr>
        <w:t>空间范围</w:t>
      </w:r>
      <w:r>
        <w:rPr>
          <w:rFonts w:hint="eastAsia"/>
          <w:sz w:val="21"/>
          <w:szCs w:val="24"/>
        </w:rPr>
        <w:tab/>
      </w:r>
      <w:r>
        <w:rPr>
          <w:rFonts w:hint="eastAsia"/>
          <w:sz w:val="21"/>
          <w:szCs w:val="24"/>
        </w:rPr>
        <w:fldChar w:fldCharType="begin"/>
      </w:r>
      <w:r>
        <w:rPr>
          <w:rFonts w:hint="eastAsia"/>
          <w:sz w:val="21"/>
          <w:szCs w:val="24"/>
        </w:rPr>
        <w:instrText xml:space="preserve"> PAGEREF _Toc30396 </w:instrText>
      </w:r>
      <w:r>
        <w:rPr>
          <w:rFonts w:hint="eastAsia"/>
          <w:sz w:val="21"/>
          <w:szCs w:val="24"/>
        </w:rPr>
        <w:fldChar w:fldCharType="separate"/>
      </w:r>
      <w:r>
        <w:rPr>
          <w:rFonts w:hint="eastAsia"/>
          <w:sz w:val="21"/>
          <w:szCs w:val="24"/>
        </w:rPr>
        <w:t>- 3 -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_Toc19121 </w:instrText>
      </w:r>
      <w:r>
        <w:rPr>
          <w:rFonts w:hint="eastAsia"/>
          <w:sz w:val="21"/>
          <w:szCs w:val="24"/>
        </w:rPr>
        <w:fldChar w:fldCharType="separate"/>
      </w:r>
      <w:r>
        <w:rPr>
          <w:rFonts w:hint="eastAsia" w:eastAsia="Times New Roman"/>
          <w:sz w:val="21"/>
          <w:szCs w:val="24"/>
        </w:rPr>
        <w:t xml:space="preserve">1.3.2 </w:t>
      </w:r>
      <w:r>
        <w:rPr>
          <w:rFonts w:hint="eastAsia"/>
          <w:sz w:val="21"/>
          <w:szCs w:val="24"/>
        </w:rPr>
        <w:t>事件范围</w:t>
      </w:r>
      <w:r>
        <w:rPr>
          <w:rFonts w:hint="eastAsia"/>
          <w:sz w:val="21"/>
          <w:szCs w:val="24"/>
        </w:rPr>
        <w:tab/>
      </w:r>
      <w:r>
        <w:rPr>
          <w:rFonts w:hint="eastAsia"/>
          <w:sz w:val="21"/>
          <w:szCs w:val="24"/>
        </w:rPr>
        <w:fldChar w:fldCharType="begin"/>
      </w:r>
      <w:r>
        <w:rPr>
          <w:rFonts w:hint="eastAsia"/>
          <w:sz w:val="21"/>
          <w:szCs w:val="24"/>
        </w:rPr>
        <w:instrText xml:space="preserve"> PAGEREF _Toc19121 </w:instrText>
      </w:r>
      <w:r>
        <w:rPr>
          <w:rFonts w:hint="eastAsia"/>
          <w:sz w:val="21"/>
          <w:szCs w:val="24"/>
        </w:rPr>
        <w:fldChar w:fldCharType="separate"/>
      </w:r>
      <w:r>
        <w:rPr>
          <w:rFonts w:hint="eastAsia"/>
          <w:sz w:val="21"/>
          <w:szCs w:val="24"/>
        </w:rPr>
        <w:t>- 4 -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_Toc2852 </w:instrText>
      </w:r>
      <w:r>
        <w:rPr>
          <w:rFonts w:hint="eastAsia"/>
          <w:sz w:val="21"/>
          <w:szCs w:val="24"/>
        </w:rPr>
        <w:fldChar w:fldCharType="separate"/>
      </w:r>
      <w:r>
        <w:rPr>
          <w:rFonts w:hint="eastAsia" w:eastAsia="Times New Roman"/>
          <w:sz w:val="21"/>
          <w:szCs w:val="24"/>
        </w:rPr>
        <w:t xml:space="preserve">1.4 </w:t>
      </w:r>
      <w:r>
        <w:rPr>
          <w:rFonts w:hint="eastAsia"/>
          <w:sz w:val="21"/>
          <w:szCs w:val="24"/>
        </w:rPr>
        <w:t>事件分级</w:t>
      </w:r>
      <w:r>
        <w:rPr>
          <w:rFonts w:hint="eastAsia"/>
          <w:sz w:val="21"/>
          <w:szCs w:val="24"/>
        </w:rPr>
        <w:tab/>
      </w:r>
      <w:r>
        <w:rPr>
          <w:rFonts w:hint="eastAsia"/>
          <w:sz w:val="21"/>
          <w:szCs w:val="24"/>
        </w:rPr>
        <w:fldChar w:fldCharType="begin"/>
      </w:r>
      <w:r>
        <w:rPr>
          <w:rFonts w:hint="eastAsia"/>
          <w:sz w:val="21"/>
          <w:szCs w:val="24"/>
        </w:rPr>
        <w:instrText xml:space="preserve"> PAGEREF _Toc2852 </w:instrText>
      </w:r>
      <w:r>
        <w:rPr>
          <w:rFonts w:hint="eastAsia"/>
          <w:sz w:val="21"/>
          <w:szCs w:val="24"/>
        </w:rPr>
        <w:fldChar w:fldCharType="separate"/>
      </w:r>
      <w:r>
        <w:rPr>
          <w:rFonts w:hint="eastAsia"/>
          <w:sz w:val="21"/>
          <w:szCs w:val="24"/>
        </w:rPr>
        <w:t>- 4 -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_Toc7047 </w:instrText>
      </w:r>
      <w:r>
        <w:rPr>
          <w:rFonts w:hint="eastAsia"/>
          <w:sz w:val="21"/>
          <w:szCs w:val="24"/>
        </w:rPr>
        <w:fldChar w:fldCharType="separate"/>
      </w:r>
      <w:r>
        <w:rPr>
          <w:rFonts w:hint="eastAsia" w:eastAsia="Times New Roman"/>
          <w:sz w:val="21"/>
          <w:szCs w:val="24"/>
        </w:rPr>
        <w:t xml:space="preserve">1.5 </w:t>
      </w:r>
      <w:r>
        <w:rPr>
          <w:rFonts w:hint="eastAsia"/>
          <w:sz w:val="21"/>
          <w:szCs w:val="24"/>
        </w:rPr>
        <w:t>预案衔接</w:t>
      </w:r>
      <w:r>
        <w:rPr>
          <w:rFonts w:hint="eastAsia"/>
          <w:sz w:val="21"/>
          <w:szCs w:val="24"/>
        </w:rPr>
        <w:tab/>
      </w:r>
      <w:r>
        <w:rPr>
          <w:rFonts w:hint="eastAsia"/>
          <w:sz w:val="21"/>
          <w:szCs w:val="24"/>
        </w:rPr>
        <w:fldChar w:fldCharType="begin"/>
      </w:r>
      <w:r>
        <w:rPr>
          <w:rFonts w:hint="eastAsia"/>
          <w:sz w:val="21"/>
          <w:szCs w:val="24"/>
        </w:rPr>
        <w:instrText xml:space="preserve"> PAGEREF _Toc7047 </w:instrText>
      </w:r>
      <w:r>
        <w:rPr>
          <w:rFonts w:hint="eastAsia"/>
          <w:sz w:val="21"/>
          <w:szCs w:val="24"/>
        </w:rPr>
        <w:fldChar w:fldCharType="separate"/>
      </w:r>
      <w:r>
        <w:rPr>
          <w:rFonts w:hint="eastAsia"/>
          <w:sz w:val="21"/>
          <w:szCs w:val="24"/>
        </w:rPr>
        <w:t>- 6 -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_Toc8478 </w:instrText>
      </w:r>
      <w:r>
        <w:rPr>
          <w:rFonts w:hint="eastAsia"/>
          <w:sz w:val="21"/>
          <w:szCs w:val="24"/>
        </w:rPr>
        <w:fldChar w:fldCharType="separate"/>
      </w:r>
      <w:r>
        <w:rPr>
          <w:rFonts w:hint="eastAsia" w:eastAsia="Times New Roman"/>
          <w:sz w:val="21"/>
          <w:szCs w:val="24"/>
        </w:rPr>
        <w:t xml:space="preserve">1.5.1 </w:t>
      </w:r>
      <w:r>
        <w:rPr>
          <w:rFonts w:hint="eastAsia"/>
          <w:sz w:val="21"/>
          <w:szCs w:val="24"/>
        </w:rPr>
        <w:t>应急预案管理体系</w:t>
      </w:r>
      <w:r>
        <w:rPr>
          <w:rFonts w:hint="eastAsia"/>
          <w:sz w:val="21"/>
          <w:szCs w:val="24"/>
        </w:rPr>
        <w:tab/>
      </w:r>
      <w:r>
        <w:rPr>
          <w:rFonts w:hint="eastAsia"/>
          <w:sz w:val="21"/>
          <w:szCs w:val="24"/>
        </w:rPr>
        <w:fldChar w:fldCharType="begin"/>
      </w:r>
      <w:r>
        <w:rPr>
          <w:rFonts w:hint="eastAsia"/>
          <w:sz w:val="21"/>
          <w:szCs w:val="24"/>
        </w:rPr>
        <w:instrText xml:space="preserve"> PAGEREF _Toc8478 </w:instrText>
      </w:r>
      <w:r>
        <w:rPr>
          <w:rFonts w:hint="eastAsia"/>
          <w:sz w:val="21"/>
          <w:szCs w:val="24"/>
        </w:rPr>
        <w:fldChar w:fldCharType="separate"/>
      </w:r>
      <w:r>
        <w:rPr>
          <w:rFonts w:hint="eastAsia"/>
          <w:sz w:val="21"/>
          <w:szCs w:val="24"/>
        </w:rPr>
        <w:t>- 6 -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_Toc10308 </w:instrText>
      </w:r>
      <w:r>
        <w:rPr>
          <w:rFonts w:hint="eastAsia"/>
          <w:sz w:val="21"/>
          <w:szCs w:val="24"/>
        </w:rPr>
        <w:fldChar w:fldCharType="separate"/>
      </w:r>
      <w:r>
        <w:rPr>
          <w:rFonts w:hint="eastAsia" w:eastAsia="Times New Roman"/>
          <w:sz w:val="21"/>
          <w:szCs w:val="24"/>
        </w:rPr>
        <w:t xml:space="preserve">1.5.2 </w:t>
      </w:r>
      <w:r>
        <w:rPr>
          <w:rFonts w:hint="eastAsia"/>
          <w:sz w:val="21"/>
          <w:szCs w:val="24"/>
        </w:rPr>
        <w:t>外部应急预案关联</w:t>
      </w:r>
      <w:r>
        <w:rPr>
          <w:rFonts w:hint="eastAsia"/>
          <w:sz w:val="21"/>
          <w:szCs w:val="24"/>
        </w:rPr>
        <w:tab/>
      </w:r>
      <w:r>
        <w:rPr>
          <w:rFonts w:hint="eastAsia"/>
          <w:sz w:val="21"/>
          <w:szCs w:val="24"/>
        </w:rPr>
        <w:fldChar w:fldCharType="begin"/>
      </w:r>
      <w:r>
        <w:rPr>
          <w:rFonts w:hint="eastAsia"/>
          <w:sz w:val="21"/>
          <w:szCs w:val="24"/>
        </w:rPr>
        <w:instrText xml:space="preserve"> PAGEREF _Toc10308 </w:instrText>
      </w:r>
      <w:r>
        <w:rPr>
          <w:rFonts w:hint="eastAsia"/>
          <w:sz w:val="21"/>
          <w:szCs w:val="24"/>
        </w:rPr>
        <w:fldChar w:fldCharType="separate"/>
      </w:r>
      <w:r>
        <w:rPr>
          <w:rFonts w:hint="eastAsia"/>
          <w:sz w:val="21"/>
          <w:szCs w:val="24"/>
        </w:rPr>
        <w:t>- 8 -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_Toc22142 </w:instrText>
      </w:r>
      <w:r>
        <w:rPr>
          <w:rFonts w:hint="eastAsia"/>
          <w:sz w:val="21"/>
          <w:szCs w:val="24"/>
        </w:rPr>
        <w:fldChar w:fldCharType="separate"/>
      </w:r>
      <w:r>
        <w:rPr>
          <w:rFonts w:hint="eastAsia" w:eastAsia="Times New Roman"/>
          <w:sz w:val="21"/>
          <w:szCs w:val="24"/>
        </w:rPr>
        <w:t xml:space="preserve">1.6 </w:t>
      </w:r>
      <w:r>
        <w:rPr>
          <w:rFonts w:hint="eastAsia"/>
          <w:sz w:val="21"/>
          <w:szCs w:val="24"/>
        </w:rPr>
        <w:t>工作原则</w:t>
      </w:r>
      <w:r>
        <w:rPr>
          <w:rFonts w:hint="eastAsia"/>
          <w:sz w:val="21"/>
          <w:szCs w:val="24"/>
        </w:rPr>
        <w:tab/>
      </w:r>
      <w:r>
        <w:rPr>
          <w:rFonts w:hint="eastAsia"/>
          <w:sz w:val="21"/>
          <w:szCs w:val="24"/>
        </w:rPr>
        <w:fldChar w:fldCharType="begin"/>
      </w:r>
      <w:r>
        <w:rPr>
          <w:rFonts w:hint="eastAsia"/>
          <w:sz w:val="21"/>
          <w:szCs w:val="24"/>
        </w:rPr>
        <w:instrText xml:space="preserve"> PAGEREF _Toc22142 </w:instrText>
      </w:r>
      <w:r>
        <w:rPr>
          <w:rFonts w:hint="eastAsia"/>
          <w:sz w:val="21"/>
          <w:szCs w:val="24"/>
        </w:rPr>
        <w:fldChar w:fldCharType="separate"/>
      </w:r>
      <w:r>
        <w:rPr>
          <w:rFonts w:hint="eastAsia"/>
          <w:sz w:val="21"/>
          <w:szCs w:val="24"/>
        </w:rPr>
        <w:t>- 9 -</w:t>
      </w:r>
      <w:r>
        <w:rPr>
          <w:rFonts w:hint="eastAsia"/>
          <w:sz w:val="21"/>
          <w:szCs w:val="24"/>
        </w:rPr>
        <w:fldChar w:fldCharType="end"/>
      </w:r>
      <w:r>
        <w:rPr>
          <w:rFonts w:hint="eastAsia"/>
          <w:sz w:val="21"/>
          <w:szCs w:val="24"/>
        </w:rPr>
        <w:fldChar w:fldCharType="end"/>
      </w:r>
    </w:p>
    <w:p>
      <w:pPr>
        <w:pStyle w:val="21"/>
        <w:tabs>
          <w:tab w:val="right" w:leader="dot" w:pos="8306"/>
        </w:tabs>
        <w:spacing w:beforeLines="0" w:afterLines="0"/>
        <w:rPr>
          <w:rFonts w:hint="eastAsia"/>
          <w:sz w:val="28"/>
          <w:szCs w:val="24"/>
        </w:rPr>
      </w:pPr>
      <w:r>
        <w:rPr>
          <w:rFonts w:hint="eastAsia"/>
          <w:sz w:val="28"/>
          <w:szCs w:val="24"/>
        </w:rPr>
        <w:fldChar w:fldCharType="begin"/>
      </w:r>
      <w:r>
        <w:rPr>
          <w:rFonts w:hint="eastAsia"/>
          <w:sz w:val="28"/>
          <w:szCs w:val="24"/>
        </w:rPr>
        <w:instrText xml:space="preserve"> HYPERLINK \l _Toc7804 </w:instrText>
      </w:r>
      <w:r>
        <w:rPr>
          <w:rFonts w:hint="eastAsia"/>
          <w:sz w:val="28"/>
          <w:szCs w:val="24"/>
        </w:rPr>
        <w:fldChar w:fldCharType="separate"/>
      </w:r>
      <w:r>
        <w:rPr>
          <w:rFonts w:hint="eastAsia" w:eastAsia="Times New Roman"/>
          <w:sz w:val="28"/>
          <w:szCs w:val="24"/>
        </w:rPr>
        <w:t xml:space="preserve">2 </w:t>
      </w:r>
      <w:r>
        <w:rPr>
          <w:rFonts w:hint="eastAsia"/>
          <w:sz w:val="28"/>
          <w:szCs w:val="24"/>
        </w:rPr>
        <w:t>应急组织指挥体系</w:t>
      </w:r>
      <w:r>
        <w:rPr>
          <w:rFonts w:hint="eastAsia"/>
          <w:sz w:val="28"/>
          <w:szCs w:val="24"/>
        </w:rPr>
        <w:tab/>
      </w:r>
      <w:r>
        <w:rPr>
          <w:rFonts w:hint="eastAsia"/>
          <w:sz w:val="28"/>
          <w:szCs w:val="24"/>
        </w:rPr>
        <w:fldChar w:fldCharType="begin"/>
      </w:r>
      <w:r>
        <w:rPr>
          <w:rFonts w:hint="eastAsia"/>
          <w:sz w:val="28"/>
          <w:szCs w:val="24"/>
        </w:rPr>
        <w:instrText xml:space="preserve"> PAGEREF _Toc7804 </w:instrText>
      </w:r>
      <w:r>
        <w:rPr>
          <w:rFonts w:hint="eastAsia"/>
          <w:sz w:val="28"/>
          <w:szCs w:val="24"/>
        </w:rPr>
        <w:fldChar w:fldCharType="separate"/>
      </w:r>
      <w:r>
        <w:rPr>
          <w:rFonts w:hint="eastAsia"/>
          <w:sz w:val="28"/>
          <w:szCs w:val="24"/>
        </w:rPr>
        <w:t>- 11 -</w:t>
      </w:r>
      <w:r>
        <w:rPr>
          <w:rFonts w:hint="eastAsia"/>
          <w:sz w:val="28"/>
          <w:szCs w:val="24"/>
        </w:rPr>
        <w:fldChar w:fldCharType="end"/>
      </w:r>
      <w:r>
        <w:rPr>
          <w:rFonts w:hint="eastAsia"/>
          <w:sz w:val="28"/>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_Toc13676 </w:instrText>
      </w:r>
      <w:r>
        <w:rPr>
          <w:rFonts w:hint="eastAsia"/>
          <w:sz w:val="21"/>
          <w:szCs w:val="24"/>
        </w:rPr>
        <w:fldChar w:fldCharType="separate"/>
      </w:r>
      <w:r>
        <w:rPr>
          <w:rFonts w:hint="eastAsia" w:eastAsia="Times New Roman"/>
          <w:sz w:val="21"/>
          <w:szCs w:val="24"/>
        </w:rPr>
        <w:t xml:space="preserve">2.1 </w:t>
      </w:r>
      <w:r>
        <w:rPr>
          <w:rFonts w:hint="eastAsia"/>
          <w:sz w:val="21"/>
          <w:szCs w:val="24"/>
        </w:rPr>
        <w:t>突发环境事件应急指挥部</w:t>
      </w:r>
      <w:r>
        <w:rPr>
          <w:rFonts w:hint="eastAsia"/>
          <w:sz w:val="21"/>
          <w:szCs w:val="24"/>
        </w:rPr>
        <w:tab/>
      </w:r>
      <w:r>
        <w:rPr>
          <w:rFonts w:hint="eastAsia"/>
          <w:sz w:val="21"/>
          <w:szCs w:val="24"/>
        </w:rPr>
        <w:fldChar w:fldCharType="begin"/>
      </w:r>
      <w:r>
        <w:rPr>
          <w:rFonts w:hint="eastAsia"/>
          <w:sz w:val="21"/>
          <w:szCs w:val="24"/>
        </w:rPr>
        <w:instrText xml:space="preserve"> PAGEREF _Toc13676 </w:instrText>
      </w:r>
      <w:r>
        <w:rPr>
          <w:rFonts w:hint="eastAsia"/>
          <w:sz w:val="21"/>
          <w:szCs w:val="24"/>
        </w:rPr>
        <w:fldChar w:fldCharType="separate"/>
      </w:r>
      <w:r>
        <w:rPr>
          <w:rFonts w:hint="eastAsia"/>
          <w:sz w:val="21"/>
          <w:szCs w:val="24"/>
        </w:rPr>
        <w:t>- 12 -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_Toc12049 </w:instrText>
      </w:r>
      <w:r>
        <w:rPr>
          <w:rFonts w:hint="eastAsia"/>
          <w:sz w:val="21"/>
          <w:szCs w:val="24"/>
        </w:rPr>
        <w:fldChar w:fldCharType="separate"/>
      </w:r>
      <w:r>
        <w:rPr>
          <w:rFonts w:hint="eastAsia" w:eastAsia="Times New Roman"/>
          <w:sz w:val="21"/>
          <w:szCs w:val="24"/>
        </w:rPr>
        <w:t xml:space="preserve">2.1.1 </w:t>
      </w:r>
      <w:r>
        <w:rPr>
          <w:rFonts w:hint="eastAsia"/>
          <w:sz w:val="21"/>
          <w:szCs w:val="24"/>
        </w:rPr>
        <w:t>主要成员组成</w:t>
      </w:r>
      <w:r>
        <w:rPr>
          <w:rFonts w:hint="eastAsia"/>
          <w:sz w:val="21"/>
          <w:szCs w:val="24"/>
        </w:rPr>
        <w:tab/>
      </w:r>
      <w:r>
        <w:rPr>
          <w:rFonts w:hint="eastAsia"/>
          <w:sz w:val="21"/>
          <w:szCs w:val="24"/>
        </w:rPr>
        <w:fldChar w:fldCharType="begin"/>
      </w:r>
      <w:r>
        <w:rPr>
          <w:rFonts w:hint="eastAsia"/>
          <w:sz w:val="21"/>
          <w:szCs w:val="24"/>
        </w:rPr>
        <w:instrText xml:space="preserve"> PAGEREF _Toc12049 </w:instrText>
      </w:r>
      <w:r>
        <w:rPr>
          <w:rFonts w:hint="eastAsia"/>
          <w:sz w:val="21"/>
          <w:szCs w:val="24"/>
        </w:rPr>
        <w:fldChar w:fldCharType="separate"/>
      </w:r>
      <w:r>
        <w:rPr>
          <w:rFonts w:hint="eastAsia"/>
          <w:sz w:val="21"/>
          <w:szCs w:val="24"/>
        </w:rPr>
        <w:t>- 12 -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_Toc9524 </w:instrText>
      </w:r>
      <w:r>
        <w:rPr>
          <w:rFonts w:hint="eastAsia"/>
          <w:sz w:val="21"/>
          <w:szCs w:val="24"/>
        </w:rPr>
        <w:fldChar w:fldCharType="separate"/>
      </w:r>
      <w:r>
        <w:rPr>
          <w:rFonts w:hint="eastAsia" w:eastAsia="Times New Roman"/>
          <w:sz w:val="21"/>
          <w:szCs w:val="24"/>
        </w:rPr>
        <w:t xml:space="preserve">2.1.2 </w:t>
      </w:r>
      <w:r>
        <w:rPr>
          <w:rFonts w:hint="eastAsia"/>
          <w:sz w:val="21"/>
          <w:szCs w:val="24"/>
        </w:rPr>
        <w:t>主要职责</w:t>
      </w:r>
      <w:r>
        <w:rPr>
          <w:rFonts w:hint="eastAsia"/>
          <w:sz w:val="21"/>
          <w:szCs w:val="24"/>
        </w:rPr>
        <w:tab/>
      </w:r>
      <w:r>
        <w:rPr>
          <w:rFonts w:hint="eastAsia"/>
          <w:sz w:val="21"/>
          <w:szCs w:val="24"/>
        </w:rPr>
        <w:fldChar w:fldCharType="begin"/>
      </w:r>
      <w:r>
        <w:rPr>
          <w:rFonts w:hint="eastAsia"/>
          <w:sz w:val="21"/>
          <w:szCs w:val="24"/>
        </w:rPr>
        <w:instrText xml:space="preserve"> PAGEREF _Toc9524 </w:instrText>
      </w:r>
      <w:r>
        <w:rPr>
          <w:rFonts w:hint="eastAsia"/>
          <w:sz w:val="21"/>
          <w:szCs w:val="24"/>
        </w:rPr>
        <w:fldChar w:fldCharType="separate"/>
      </w:r>
      <w:r>
        <w:rPr>
          <w:rFonts w:hint="eastAsia"/>
          <w:sz w:val="21"/>
          <w:szCs w:val="24"/>
        </w:rPr>
        <w:t>- 13 -</w:t>
      </w:r>
      <w:r>
        <w:rPr>
          <w:rFonts w:hint="eastAsia"/>
          <w:sz w:val="21"/>
          <w:szCs w:val="24"/>
        </w:rPr>
        <w:fldChar w:fldCharType="end"/>
      </w:r>
      <w:r>
        <w:rPr>
          <w:rFonts w:hint="eastAsia"/>
          <w:sz w:val="21"/>
          <w:szCs w:val="24"/>
        </w:rPr>
        <w:fldChar w:fldCharType="end"/>
      </w:r>
    </w:p>
    <w:p>
      <w:pPr>
        <w:pStyle w:val="22"/>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_Toc32327 </w:instrText>
      </w:r>
      <w:r>
        <w:rPr>
          <w:rFonts w:hint="eastAsia"/>
          <w:sz w:val="21"/>
          <w:szCs w:val="24"/>
        </w:rPr>
        <w:fldChar w:fldCharType="separate"/>
      </w:r>
      <w:r>
        <w:rPr>
          <w:rFonts w:hint="eastAsia" w:eastAsia="Times New Roman"/>
          <w:sz w:val="21"/>
          <w:szCs w:val="24"/>
        </w:rPr>
        <w:t xml:space="preserve">2.1.2.1 </w:t>
      </w:r>
      <w:r>
        <w:rPr>
          <w:rFonts w:hint="eastAsia"/>
          <w:sz w:val="21"/>
          <w:szCs w:val="24"/>
        </w:rPr>
        <w:t>总指挥主要职责</w:t>
      </w:r>
      <w:r>
        <w:rPr>
          <w:rFonts w:hint="eastAsia"/>
          <w:sz w:val="21"/>
          <w:szCs w:val="24"/>
        </w:rPr>
        <w:tab/>
      </w:r>
      <w:r>
        <w:rPr>
          <w:rFonts w:hint="eastAsia"/>
          <w:sz w:val="21"/>
          <w:szCs w:val="24"/>
        </w:rPr>
        <w:fldChar w:fldCharType="begin"/>
      </w:r>
      <w:r>
        <w:rPr>
          <w:rFonts w:hint="eastAsia"/>
          <w:sz w:val="21"/>
          <w:szCs w:val="24"/>
        </w:rPr>
        <w:instrText xml:space="preserve"> PAGEREF _Toc32327 </w:instrText>
      </w:r>
      <w:r>
        <w:rPr>
          <w:rFonts w:hint="eastAsia"/>
          <w:sz w:val="21"/>
          <w:szCs w:val="24"/>
        </w:rPr>
        <w:fldChar w:fldCharType="separate"/>
      </w:r>
      <w:r>
        <w:rPr>
          <w:rFonts w:hint="eastAsia"/>
          <w:sz w:val="21"/>
          <w:szCs w:val="24"/>
        </w:rPr>
        <w:t>- 13 -</w:t>
      </w:r>
      <w:r>
        <w:rPr>
          <w:rFonts w:hint="eastAsia"/>
          <w:sz w:val="21"/>
          <w:szCs w:val="24"/>
        </w:rPr>
        <w:fldChar w:fldCharType="end"/>
      </w:r>
      <w:r>
        <w:rPr>
          <w:rFonts w:hint="eastAsia"/>
          <w:sz w:val="21"/>
          <w:szCs w:val="24"/>
        </w:rPr>
        <w:fldChar w:fldCharType="end"/>
      </w:r>
    </w:p>
    <w:p>
      <w:pPr>
        <w:pStyle w:val="22"/>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_Toc21130 </w:instrText>
      </w:r>
      <w:r>
        <w:rPr>
          <w:rFonts w:hint="eastAsia"/>
          <w:sz w:val="21"/>
          <w:szCs w:val="24"/>
        </w:rPr>
        <w:fldChar w:fldCharType="separate"/>
      </w:r>
      <w:r>
        <w:rPr>
          <w:rFonts w:hint="eastAsia" w:eastAsia="Times New Roman"/>
          <w:sz w:val="21"/>
          <w:szCs w:val="24"/>
        </w:rPr>
        <w:t xml:space="preserve">2.1.2.2 </w:t>
      </w:r>
      <w:r>
        <w:rPr>
          <w:rFonts w:hint="eastAsia"/>
          <w:sz w:val="21"/>
          <w:szCs w:val="24"/>
        </w:rPr>
        <w:t>副总指挥主要职责</w:t>
      </w:r>
      <w:r>
        <w:rPr>
          <w:rFonts w:hint="eastAsia"/>
          <w:sz w:val="21"/>
          <w:szCs w:val="24"/>
        </w:rPr>
        <w:tab/>
      </w:r>
      <w:r>
        <w:rPr>
          <w:rFonts w:hint="eastAsia"/>
          <w:sz w:val="21"/>
          <w:szCs w:val="24"/>
        </w:rPr>
        <w:fldChar w:fldCharType="begin"/>
      </w:r>
      <w:r>
        <w:rPr>
          <w:rFonts w:hint="eastAsia"/>
          <w:sz w:val="21"/>
          <w:szCs w:val="24"/>
        </w:rPr>
        <w:instrText xml:space="preserve"> PAGEREF _Toc21130 </w:instrText>
      </w:r>
      <w:r>
        <w:rPr>
          <w:rFonts w:hint="eastAsia"/>
          <w:sz w:val="21"/>
          <w:szCs w:val="24"/>
        </w:rPr>
        <w:fldChar w:fldCharType="separate"/>
      </w:r>
      <w:r>
        <w:rPr>
          <w:rFonts w:hint="eastAsia"/>
          <w:sz w:val="21"/>
          <w:szCs w:val="24"/>
        </w:rPr>
        <w:t>- 14 -</w:t>
      </w:r>
      <w:r>
        <w:rPr>
          <w:rFonts w:hint="eastAsia"/>
          <w:sz w:val="21"/>
          <w:szCs w:val="24"/>
        </w:rPr>
        <w:fldChar w:fldCharType="end"/>
      </w:r>
      <w:r>
        <w:rPr>
          <w:rFonts w:hint="eastAsia"/>
          <w:sz w:val="21"/>
          <w:szCs w:val="24"/>
        </w:rPr>
        <w:fldChar w:fldCharType="end"/>
      </w:r>
    </w:p>
    <w:p>
      <w:pPr>
        <w:pStyle w:val="22"/>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_Toc16763 </w:instrText>
      </w:r>
      <w:r>
        <w:rPr>
          <w:rFonts w:hint="eastAsia"/>
          <w:sz w:val="21"/>
          <w:szCs w:val="24"/>
        </w:rPr>
        <w:fldChar w:fldCharType="separate"/>
      </w:r>
      <w:r>
        <w:rPr>
          <w:rFonts w:hint="eastAsia" w:eastAsia="Times New Roman"/>
          <w:sz w:val="21"/>
          <w:szCs w:val="24"/>
        </w:rPr>
        <w:t xml:space="preserve">2.1.2.3 </w:t>
      </w:r>
      <w:r>
        <w:rPr>
          <w:rFonts w:hint="eastAsia"/>
          <w:sz w:val="21"/>
          <w:szCs w:val="24"/>
        </w:rPr>
        <w:t>协调办公室主要职责</w:t>
      </w:r>
      <w:r>
        <w:rPr>
          <w:rFonts w:hint="eastAsia"/>
          <w:sz w:val="21"/>
          <w:szCs w:val="24"/>
        </w:rPr>
        <w:tab/>
      </w:r>
      <w:r>
        <w:rPr>
          <w:rFonts w:hint="eastAsia"/>
          <w:sz w:val="21"/>
          <w:szCs w:val="24"/>
        </w:rPr>
        <w:fldChar w:fldCharType="begin"/>
      </w:r>
      <w:r>
        <w:rPr>
          <w:rFonts w:hint="eastAsia"/>
          <w:sz w:val="21"/>
          <w:szCs w:val="24"/>
        </w:rPr>
        <w:instrText xml:space="preserve"> PAGEREF _Toc16763 </w:instrText>
      </w:r>
      <w:r>
        <w:rPr>
          <w:rFonts w:hint="eastAsia"/>
          <w:sz w:val="21"/>
          <w:szCs w:val="24"/>
        </w:rPr>
        <w:fldChar w:fldCharType="separate"/>
      </w:r>
      <w:r>
        <w:rPr>
          <w:rFonts w:hint="eastAsia"/>
          <w:sz w:val="21"/>
          <w:szCs w:val="24"/>
        </w:rPr>
        <w:t>- 15 -</w:t>
      </w:r>
      <w:r>
        <w:rPr>
          <w:rFonts w:hint="eastAsia"/>
          <w:sz w:val="21"/>
          <w:szCs w:val="24"/>
        </w:rPr>
        <w:fldChar w:fldCharType="end"/>
      </w:r>
      <w:r>
        <w:rPr>
          <w:rFonts w:hint="eastAsia"/>
          <w:sz w:val="21"/>
          <w:szCs w:val="24"/>
        </w:rPr>
        <w:fldChar w:fldCharType="end"/>
      </w:r>
    </w:p>
    <w:p>
      <w:pPr>
        <w:pStyle w:val="22"/>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_Toc21228 </w:instrText>
      </w:r>
      <w:r>
        <w:rPr>
          <w:rFonts w:hint="eastAsia"/>
          <w:sz w:val="21"/>
          <w:szCs w:val="24"/>
        </w:rPr>
        <w:fldChar w:fldCharType="separate"/>
      </w:r>
      <w:r>
        <w:rPr>
          <w:rFonts w:hint="eastAsia" w:eastAsia="Times New Roman"/>
          <w:sz w:val="21"/>
          <w:szCs w:val="24"/>
        </w:rPr>
        <w:t xml:space="preserve">2.1.2.4 </w:t>
      </w:r>
      <w:r>
        <w:rPr>
          <w:rFonts w:hint="eastAsia"/>
          <w:sz w:val="21"/>
          <w:szCs w:val="24"/>
        </w:rPr>
        <w:t>专项工作组主要职责</w:t>
      </w:r>
      <w:r>
        <w:rPr>
          <w:rFonts w:hint="eastAsia"/>
          <w:sz w:val="21"/>
          <w:szCs w:val="24"/>
        </w:rPr>
        <w:tab/>
      </w:r>
      <w:r>
        <w:rPr>
          <w:rFonts w:hint="eastAsia"/>
          <w:sz w:val="21"/>
          <w:szCs w:val="24"/>
        </w:rPr>
        <w:fldChar w:fldCharType="begin"/>
      </w:r>
      <w:r>
        <w:rPr>
          <w:rFonts w:hint="eastAsia"/>
          <w:sz w:val="21"/>
          <w:szCs w:val="24"/>
        </w:rPr>
        <w:instrText xml:space="preserve"> PAGEREF _Toc21228 </w:instrText>
      </w:r>
      <w:r>
        <w:rPr>
          <w:rFonts w:hint="eastAsia"/>
          <w:sz w:val="21"/>
          <w:szCs w:val="24"/>
        </w:rPr>
        <w:fldChar w:fldCharType="separate"/>
      </w:r>
      <w:r>
        <w:rPr>
          <w:rFonts w:hint="eastAsia"/>
          <w:sz w:val="21"/>
          <w:szCs w:val="24"/>
        </w:rPr>
        <w:t>- 15 -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_Toc24446 </w:instrText>
      </w:r>
      <w:r>
        <w:rPr>
          <w:rFonts w:hint="eastAsia"/>
          <w:sz w:val="21"/>
          <w:szCs w:val="24"/>
        </w:rPr>
        <w:fldChar w:fldCharType="separate"/>
      </w:r>
      <w:r>
        <w:rPr>
          <w:rFonts w:hint="eastAsia" w:eastAsia="Times New Roman"/>
          <w:sz w:val="21"/>
          <w:szCs w:val="24"/>
        </w:rPr>
        <w:t xml:space="preserve">2.2 </w:t>
      </w:r>
      <w:r>
        <w:rPr>
          <w:rFonts w:hint="eastAsia"/>
          <w:sz w:val="21"/>
          <w:szCs w:val="24"/>
        </w:rPr>
        <w:t>现场应急指挥部</w:t>
      </w:r>
      <w:r>
        <w:rPr>
          <w:rFonts w:hint="eastAsia"/>
          <w:sz w:val="21"/>
          <w:szCs w:val="24"/>
        </w:rPr>
        <w:tab/>
      </w:r>
      <w:r>
        <w:rPr>
          <w:rFonts w:hint="eastAsia"/>
          <w:sz w:val="21"/>
          <w:szCs w:val="24"/>
        </w:rPr>
        <w:fldChar w:fldCharType="begin"/>
      </w:r>
      <w:r>
        <w:rPr>
          <w:rFonts w:hint="eastAsia"/>
          <w:sz w:val="21"/>
          <w:szCs w:val="24"/>
        </w:rPr>
        <w:instrText xml:space="preserve"> PAGEREF _Toc24446 </w:instrText>
      </w:r>
      <w:r>
        <w:rPr>
          <w:rFonts w:hint="eastAsia"/>
          <w:sz w:val="21"/>
          <w:szCs w:val="24"/>
        </w:rPr>
        <w:fldChar w:fldCharType="separate"/>
      </w:r>
      <w:r>
        <w:rPr>
          <w:rFonts w:hint="eastAsia"/>
          <w:sz w:val="21"/>
          <w:szCs w:val="24"/>
        </w:rPr>
        <w:t>- 19 -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_Toc9222 </w:instrText>
      </w:r>
      <w:r>
        <w:rPr>
          <w:rFonts w:hint="eastAsia"/>
          <w:sz w:val="21"/>
          <w:szCs w:val="24"/>
        </w:rPr>
        <w:fldChar w:fldCharType="separate"/>
      </w:r>
      <w:r>
        <w:rPr>
          <w:rFonts w:hint="eastAsia" w:eastAsia="Times New Roman"/>
          <w:sz w:val="21"/>
          <w:szCs w:val="24"/>
        </w:rPr>
        <w:t xml:space="preserve">2.3 </w:t>
      </w:r>
      <w:r>
        <w:rPr>
          <w:rFonts w:hint="eastAsia"/>
          <w:sz w:val="21"/>
          <w:szCs w:val="24"/>
        </w:rPr>
        <w:t>现场应急工作组</w:t>
      </w:r>
      <w:r>
        <w:rPr>
          <w:rFonts w:hint="eastAsia"/>
          <w:sz w:val="21"/>
          <w:szCs w:val="24"/>
        </w:rPr>
        <w:tab/>
      </w:r>
      <w:r>
        <w:rPr>
          <w:rFonts w:hint="eastAsia"/>
          <w:sz w:val="21"/>
          <w:szCs w:val="24"/>
        </w:rPr>
        <w:fldChar w:fldCharType="begin"/>
      </w:r>
      <w:r>
        <w:rPr>
          <w:rFonts w:hint="eastAsia"/>
          <w:sz w:val="21"/>
          <w:szCs w:val="24"/>
        </w:rPr>
        <w:instrText xml:space="preserve"> PAGEREF _Toc9222 </w:instrText>
      </w:r>
      <w:r>
        <w:rPr>
          <w:rFonts w:hint="eastAsia"/>
          <w:sz w:val="21"/>
          <w:szCs w:val="24"/>
        </w:rPr>
        <w:fldChar w:fldCharType="separate"/>
      </w:r>
      <w:r>
        <w:rPr>
          <w:rFonts w:hint="eastAsia"/>
          <w:sz w:val="21"/>
          <w:szCs w:val="24"/>
        </w:rPr>
        <w:t>- 20 -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_Toc20712 </w:instrText>
      </w:r>
      <w:r>
        <w:rPr>
          <w:rFonts w:hint="eastAsia"/>
          <w:sz w:val="21"/>
          <w:szCs w:val="24"/>
        </w:rPr>
        <w:fldChar w:fldCharType="separate"/>
      </w:r>
      <w:r>
        <w:rPr>
          <w:rFonts w:hint="eastAsia" w:eastAsia="Times New Roman"/>
          <w:sz w:val="21"/>
          <w:szCs w:val="24"/>
        </w:rPr>
        <w:t xml:space="preserve">2.3.1 </w:t>
      </w:r>
      <w:r>
        <w:rPr>
          <w:rFonts w:hint="eastAsia"/>
          <w:sz w:val="21"/>
          <w:szCs w:val="24"/>
        </w:rPr>
        <w:t>应急处置组</w:t>
      </w:r>
      <w:r>
        <w:rPr>
          <w:rFonts w:hint="eastAsia"/>
          <w:sz w:val="21"/>
          <w:szCs w:val="24"/>
        </w:rPr>
        <w:tab/>
      </w:r>
      <w:r>
        <w:rPr>
          <w:rFonts w:hint="eastAsia"/>
          <w:sz w:val="21"/>
          <w:szCs w:val="24"/>
        </w:rPr>
        <w:fldChar w:fldCharType="begin"/>
      </w:r>
      <w:r>
        <w:rPr>
          <w:rFonts w:hint="eastAsia"/>
          <w:sz w:val="21"/>
          <w:szCs w:val="24"/>
        </w:rPr>
        <w:instrText xml:space="preserve"> PAGEREF _Toc20712 </w:instrText>
      </w:r>
      <w:r>
        <w:rPr>
          <w:rFonts w:hint="eastAsia"/>
          <w:sz w:val="21"/>
          <w:szCs w:val="24"/>
        </w:rPr>
        <w:fldChar w:fldCharType="separate"/>
      </w:r>
      <w:r>
        <w:rPr>
          <w:rFonts w:hint="eastAsia"/>
          <w:sz w:val="21"/>
          <w:szCs w:val="24"/>
        </w:rPr>
        <w:t>- 21 -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_Toc28484 </w:instrText>
      </w:r>
      <w:r>
        <w:rPr>
          <w:rFonts w:hint="eastAsia"/>
          <w:sz w:val="21"/>
          <w:szCs w:val="24"/>
        </w:rPr>
        <w:fldChar w:fldCharType="separate"/>
      </w:r>
      <w:r>
        <w:rPr>
          <w:rFonts w:hint="eastAsia" w:eastAsia="Times New Roman"/>
          <w:sz w:val="21"/>
          <w:szCs w:val="24"/>
        </w:rPr>
        <w:t xml:space="preserve">2.3.2 </w:t>
      </w:r>
      <w:r>
        <w:rPr>
          <w:rFonts w:hint="eastAsia"/>
          <w:sz w:val="21"/>
          <w:szCs w:val="24"/>
        </w:rPr>
        <w:t>应急监测组</w:t>
      </w:r>
      <w:r>
        <w:rPr>
          <w:rFonts w:hint="eastAsia"/>
          <w:sz w:val="21"/>
          <w:szCs w:val="24"/>
        </w:rPr>
        <w:tab/>
      </w:r>
      <w:r>
        <w:rPr>
          <w:rFonts w:hint="eastAsia"/>
          <w:sz w:val="21"/>
          <w:szCs w:val="24"/>
        </w:rPr>
        <w:fldChar w:fldCharType="begin"/>
      </w:r>
      <w:r>
        <w:rPr>
          <w:rFonts w:hint="eastAsia"/>
          <w:sz w:val="21"/>
          <w:szCs w:val="24"/>
        </w:rPr>
        <w:instrText xml:space="preserve"> PAGEREF _Toc28484 </w:instrText>
      </w:r>
      <w:r>
        <w:rPr>
          <w:rFonts w:hint="eastAsia"/>
          <w:sz w:val="21"/>
          <w:szCs w:val="24"/>
        </w:rPr>
        <w:fldChar w:fldCharType="separate"/>
      </w:r>
      <w:r>
        <w:rPr>
          <w:rFonts w:hint="eastAsia"/>
          <w:sz w:val="21"/>
          <w:szCs w:val="24"/>
        </w:rPr>
        <w:t>- 21 -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_Toc10204 </w:instrText>
      </w:r>
      <w:r>
        <w:rPr>
          <w:rFonts w:hint="eastAsia"/>
          <w:sz w:val="21"/>
          <w:szCs w:val="24"/>
        </w:rPr>
        <w:fldChar w:fldCharType="separate"/>
      </w:r>
      <w:r>
        <w:rPr>
          <w:rFonts w:hint="eastAsia" w:eastAsia="Times New Roman"/>
          <w:sz w:val="21"/>
          <w:szCs w:val="24"/>
        </w:rPr>
        <w:t xml:space="preserve">2.3.3 </w:t>
      </w:r>
      <w:r>
        <w:rPr>
          <w:rFonts w:hint="eastAsia"/>
          <w:sz w:val="21"/>
          <w:szCs w:val="24"/>
        </w:rPr>
        <w:t>应急供水保障组</w:t>
      </w:r>
      <w:r>
        <w:rPr>
          <w:rFonts w:hint="eastAsia"/>
          <w:sz w:val="21"/>
          <w:szCs w:val="24"/>
        </w:rPr>
        <w:tab/>
      </w:r>
      <w:r>
        <w:rPr>
          <w:rFonts w:hint="eastAsia"/>
          <w:sz w:val="21"/>
          <w:szCs w:val="24"/>
        </w:rPr>
        <w:fldChar w:fldCharType="begin"/>
      </w:r>
      <w:r>
        <w:rPr>
          <w:rFonts w:hint="eastAsia"/>
          <w:sz w:val="21"/>
          <w:szCs w:val="24"/>
        </w:rPr>
        <w:instrText xml:space="preserve"> PAGEREF _Toc10204 </w:instrText>
      </w:r>
      <w:r>
        <w:rPr>
          <w:rFonts w:hint="eastAsia"/>
          <w:sz w:val="21"/>
          <w:szCs w:val="24"/>
        </w:rPr>
        <w:fldChar w:fldCharType="separate"/>
      </w:r>
      <w:r>
        <w:rPr>
          <w:rFonts w:hint="eastAsia"/>
          <w:sz w:val="21"/>
          <w:szCs w:val="24"/>
        </w:rPr>
        <w:t>- 22 -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_Toc31483 </w:instrText>
      </w:r>
      <w:r>
        <w:rPr>
          <w:rFonts w:hint="eastAsia"/>
          <w:sz w:val="21"/>
          <w:szCs w:val="24"/>
        </w:rPr>
        <w:fldChar w:fldCharType="separate"/>
      </w:r>
      <w:r>
        <w:rPr>
          <w:rFonts w:hint="eastAsia" w:eastAsia="Times New Roman"/>
          <w:sz w:val="21"/>
          <w:szCs w:val="24"/>
        </w:rPr>
        <w:t xml:space="preserve">2.3.4 </w:t>
      </w:r>
      <w:r>
        <w:rPr>
          <w:rFonts w:hint="eastAsia"/>
          <w:sz w:val="21"/>
          <w:szCs w:val="24"/>
        </w:rPr>
        <w:t>应急物资保障组</w:t>
      </w:r>
      <w:r>
        <w:rPr>
          <w:rFonts w:hint="eastAsia"/>
          <w:sz w:val="21"/>
          <w:szCs w:val="24"/>
        </w:rPr>
        <w:tab/>
      </w:r>
      <w:r>
        <w:rPr>
          <w:rFonts w:hint="eastAsia"/>
          <w:sz w:val="21"/>
          <w:szCs w:val="24"/>
        </w:rPr>
        <w:fldChar w:fldCharType="begin"/>
      </w:r>
      <w:r>
        <w:rPr>
          <w:rFonts w:hint="eastAsia"/>
          <w:sz w:val="21"/>
          <w:szCs w:val="24"/>
        </w:rPr>
        <w:instrText xml:space="preserve"> PAGEREF _Toc31483 </w:instrText>
      </w:r>
      <w:r>
        <w:rPr>
          <w:rFonts w:hint="eastAsia"/>
          <w:sz w:val="21"/>
          <w:szCs w:val="24"/>
        </w:rPr>
        <w:fldChar w:fldCharType="separate"/>
      </w:r>
      <w:r>
        <w:rPr>
          <w:rFonts w:hint="eastAsia"/>
          <w:sz w:val="21"/>
          <w:szCs w:val="24"/>
        </w:rPr>
        <w:t>- 22 -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_Toc8983 </w:instrText>
      </w:r>
      <w:r>
        <w:rPr>
          <w:rFonts w:hint="eastAsia"/>
          <w:sz w:val="21"/>
          <w:szCs w:val="24"/>
        </w:rPr>
        <w:fldChar w:fldCharType="separate"/>
      </w:r>
      <w:r>
        <w:rPr>
          <w:rFonts w:hint="eastAsia" w:eastAsia="Times New Roman"/>
          <w:sz w:val="21"/>
          <w:szCs w:val="24"/>
        </w:rPr>
        <w:t xml:space="preserve">2.3.5 </w:t>
      </w:r>
      <w:r>
        <w:rPr>
          <w:rFonts w:hint="eastAsia"/>
          <w:sz w:val="21"/>
          <w:szCs w:val="24"/>
        </w:rPr>
        <w:t>综合组</w:t>
      </w:r>
      <w:r>
        <w:rPr>
          <w:rFonts w:hint="eastAsia"/>
          <w:sz w:val="21"/>
          <w:szCs w:val="24"/>
        </w:rPr>
        <w:tab/>
      </w:r>
      <w:r>
        <w:rPr>
          <w:rFonts w:hint="eastAsia"/>
          <w:sz w:val="21"/>
          <w:szCs w:val="24"/>
        </w:rPr>
        <w:fldChar w:fldCharType="begin"/>
      </w:r>
      <w:r>
        <w:rPr>
          <w:rFonts w:hint="eastAsia"/>
          <w:sz w:val="21"/>
          <w:szCs w:val="24"/>
        </w:rPr>
        <w:instrText xml:space="preserve"> PAGEREF _Toc8983 </w:instrText>
      </w:r>
      <w:r>
        <w:rPr>
          <w:rFonts w:hint="eastAsia"/>
          <w:sz w:val="21"/>
          <w:szCs w:val="24"/>
        </w:rPr>
        <w:fldChar w:fldCharType="separate"/>
      </w:r>
      <w:r>
        <w:rPr>
          <w:rFonts w:hint="eastAsia"/>
          <w:sz w:val="21"/>
          <w:szCs w:val="24"/>
        </w:rPr>
        <w:t>- 23 -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_Toc15821 </w:instrText>
      </w:r>
      <w:r>
        <w:rPr>
          <w:rFonts w:hint="eastAsia"/>
          <w:sz w:val="21"/>
          <w:szCs w:val="24"/>
        </w:rPr>
        <w:fldChar w:fldCharType="separate"/>
      </w:r>
      <w:r>
        <w:rPr>
          <w:rFonts w:hint="eastAsia" w:eastAsia="Times New Roman"/>
          <w:sz w:val="21"/>
          <w:szCs w:val="24"/>
        </w:rPr>
        <w:t xml:space="preserve">2.3.6 </w:t>
      </w:r>
      <w:r>
        <w:rPr>
          <w:rFonts w:hint="eastAsia"/>
          <w:sz w:val="21"/>
          <w:szCs w:val="24"/>
        </w:rPr>
        <w:t>应急专家组</w:t>
      </w:r>
      <w:r>
        <w:rPr>
          <w:rFonts w:hint="eastAsia"/>
          <w:sz w:val="21"/>
          <w:szCs w:val="24"/>
        </w:rPr>
        <w:tab/>
      </w:r>
      <w:r>
        <w:rPr>
          <w:rFonts w:hint="eastAsia"/>
          <w:sz w:val="21"/>
          <w:szCs w:val="24"/>
        </w:rPr>
        <w:fldChar w:fldCharType="begin"/>
      </w:r>
      <w:r>
        <w:rPr>
          <w:rFonts w:hint="eastAsia"/>
          <w:sz w:val="21"/>
          <w:szCs w:val="24"/>
        </w:rPr>
        <w:instrText xml:space="preserve"> PAGEREF _Toc15821 </w:instrText>
      </w:r>
      <w:r>
        <w:rPr>
          <w:rFonts w:hint="eastAsia"/>
          <w:sz w:val="21"/>
          <w:szCs w:val="24"/>
        </w:rPr>
        <w:fldChar w:fldCharType="separate"/>
      </w:r>
      <w:r>
        <w:rPr>
          <w:rFonts w:hint="eastAsia"/>
          <w:sz w:val="21"/>
          <w:szCs w:val="24"/>
        </w:rPr>
        <w:t>- 23 -</w:t>
      </w:r>
      <w:r>
        <w:rPr>
          <w:rFonts w:hint="eastAsia"/>
          <w:sz w:val="21"/>
          <w:szCs w:val="24"/>
        </w:rPr>
        <w:fldChar w:fldCharType="end"/>
      </w:r>
      <w:r>
        <w:rPr>
          <w:rFonts w:hint="eastAsia"/>
          <w:sz w:val="21"/>
          <w:szCs w:val="24"/>
        </w:rPr>
        <w:fldChar w:fldCharType="end"/>
      </w:r>
    </w:p>
    <w:p>
      <w:pPr>
        <w:pStyle w:val="21"/>
        <w:tabs>
          <w:tab w:val="right" w:leader="dot" w:pos="8306"/>
        </w:tabs>
        <w:spacing w:beforeLines="0" w:afterLines="0"/>
        <w:rPr>
          <w:rFonts w:hint="eastAsia"/>
          <w:sz w:val="28"/>
          <w:szCs w:val="24"/>
        </w:rPr>
      </w:pPr>
      <w:r>
        <w:rPr>
          <w:rFonts w:hint="eastAsia"/>
          <w:sz w:val="28"/>
          <w:szCs w:val="24"/>
        </w:rPr>
        <w:fldChar w:fldCharType="begin"/>
      </w:r>
      <w:r>
        <w:rPr>
          <w:rFonts w:hint="eastAsia"/>
          <w:sz w:val="28"/>
          <w:szCs w:val="24"/>
        </w:rPr>
        <w:instrText xml:space="preserve"> HYPERLINK \l _Toc3642 </w:instrText>
      </w:r>
      <w:r>
        <w:rPr>
          <w:rFonts w:hint="eastAsia"/>
          <w:sz w:val="28"/>
          <w:szCs w:val="24"/>
        </w:rPr>
        <w:fldChar w:fldCharType="separate"/>
      </w:r>
      <w:r>
        <w:rPr>
          <w:rFonts w:hint="eastAsia" w:eastAsia="Times New Roman"/>
          <w:sz w:val="28"/>
          <w:szCs w:val="24"/>
        </w:rPr>
        <w:t xml:space="preserve">3 </w:t>
      </w:r>
      <w:r>
        <w:rPr>
          <w:rFonts w:hint="eastAsia"/>
          <w:sz w:val="28"/>
          <w:szCs w:val="24"/>
        </w:rPr>
        <w:t>应急响应</w:t>
      </w:r>
      <w:r>
        <w:rPr>
          <w:rFonts w:hint="eastAsia"/>
          <w:sz w:val="28"/>
          <w:szCs w:val="24"/>
        </w:rPr>
        <w:tab/>
      </w:r>
      <w:r>
        <w:rPr>
          <w:rFonts w:hint="eastAsia"/>
          <w:sz w:val="28"/>
          <w:szCs w:val="24"/>
        </w:rPr>
        <w:fldChar w:fldCharType="begin"/>
      </w:r>
      <w:r>
        <w:rPr>
          <w:rFonts w:hint="eastAsia"/>
          <w:sz w:val="28"/>
          <w:szCs w:val="24"/>
        </w:rPr>
        <w:instrText xml:space="preserve"> PAGEREF _Toc3642 </w:instrText>
      </w:r>
      <w:r>
        <w:rPr>
          <w:rFonts w:hint="eastAsia"/>
          <w:sz w:val="28"/>
          <w:szCs w:val="24"/>
        </w:rPr>
        <w:fldChar w:fldCharType="separate"/>
      </w:r>
      <w:r>
        <w:rPr>
          <w:rFonts w:hint="eastAsia"/>
          <w:sz w:val="28"/>
          <w:szCs w:val="24"/>
        </w:rPr>
        <w:t>- 25 -</w:t>
      </w:r>
      <w:r>
        <w:rPr>
          <w:rFonts w:hint="eastAsia"/>
          <w:sz w:val="28"/>
          <w:szCs w:val="24"/>
        </w:rPr>
        <w:fldChar w:fldCharType="end"/>
      </w:r>
      <w:r>
        <w:rPr>
          <w:rFonts w:hint="eastAsia"/>
          <w:sz w:val="28"/>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_Toc28213 </w:instrText>
      </w:r>
      <w:r>
        <w:rPr>
          <w:rFonts w:hint="eastAsia"/>
          <w:sz w:val="21"/>
          <w:szCs w:val="24"/>
        </w:rPr>
        <w:fldChar w:fldCharType="separate"/>
      </w:r>
      <w:r>
        <w:rPr>
          <w:rFonts w:hint="eastAsia" w:eastAsia="Times New Roman"/>
          <w:sz w:val="21"/>
          <w:szCs w:val="24"/>
        </w:rPr>
        <w:t xml:space="preserve">3.1 </w:t>
      </w:r>
      <w:r>
        <w:rPr>
          <w:rFonts w:hint="eastAsia"/>
          <w:sz w:val="21"/>
          <w:szCs w:val="24"/>
        </w:rPr>
        <w:t>信息收集和研判</w:t>
      </w:r>
      <w:r>
        <w:rPr>
          <w:rFonts w:hint="eastAsia"/>
          <w:sz w:val="21"/>
          <w:szCs w:val="24"/>
        </w:rPr>
        <w:tab/>
      </w:r>
      <w:r>
        <w:rPr>
          <w:rFonts w:hint="eastAsia"/>
          <w:sz w:val="21"/>
          <w:szCs w:val="24"/>
        </w:rPr>
        <w:fldChar w:fldCharType="begin"/>
      </w:r>
      <w:r>
        <w:rPr>
          <w:rFonts w:hint="eastAsia"/>
          <w:sz w:val="21"/>
          <w:szCs w:val="24"/>
        </w:rPr>
        <w:instrText xml:space="preserve"> PAGEREF _Toc28213 </w:instrText>
      </w:r>
      <w:r>
        <w:rPr>
          <w:rFonts w:hint="eastAsia"/>
          <w:sz w:val="21"/>
          <w:szCs w:val="24"/>
        </w:rPr>
        <w:fldChar w:fldCharType="separate"/>
      </w:r>
      <w:r>
        <w:rPr>
          <w:rFonts w:hint="eastAsia"/>
          <w:sz w:val="21"/>
          <w:szCs w:val="24"/>
        </w:rPr>
        <w:t>- 27 -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_Toc436 </w:instrText>
      </w:r>
      <w:r>
        <w:rPr>
          <w:rFonts w:hint="eastAsia"/>
          <w:sz w:val="21"/>
          <w:szCs w:val="24"/>
        </w:rPr>
        <w:fldChar w:fldCharType="separate"/>
      </w:r>
      <w:r>
        <w:rPr>
          <w:rFonts w:hint="eastAsia" w:eastAsia="Times New Roman"/>
          <w:sz w:val="21"/>
          <w:szCs w:val="24"/>
        </w:rPr>
        <w:t xml:space="preserve">3.1.1 </w:t>
      </w:r>
      <w:r>
        <w:rPr>
          <w:rFonts w:hint="eastAsia"/>
          <w:sz w:val="21"/>
          <w:szCs w:val="24"/>
        </w:rPr>
        <w:t>信息收集</w:t>
      </w:r>
      <w:r>
        <w:rPr>
          <w:rFonts w:hint="eastAsia"/>
          <w:sz w:val="21"/>
          <w:szCs w:val="24"/>
        </w:rPr>
        <w:tab/>
      </w:r>
      <w:r>
        <w:rPr>
          <w:rFonts w:hint="eastAsia"/>
          <w:sz w:val="21"/>
          <w:szCs w:val="24"/>
        </w:rPr>
        <w:fldChar w:fldCharType="begin"/>
      </w:r>
      <w:r>
        <w:rPr>
          <w:rFonts w:hint="eastAsia"/>
          <w:sz w:val="21"/>
          <w:szCs w:val="24"/>
        </w:rPr>
        <w:instrText xml:space="preserve"> PAGEREF _Toc436 </w:instrText>
      </w:r>
      <w:r>
        <w:rPr>
          <w:rFonts w:hint="eastAsia"/>
          <w:sz w:val="21"/>
          <w:szCs w:val="24"/>
        </w:rPr>
        <w:fldChar w:fldCharType="separate"/>
      </w:r>
      <w:r>
        <w:rPr>
          <w:rFonts w:hint="eastAsia"/>
          <w:sz w:val="21"/>
          <w:szCs w:val="24"/>
        </w:rPr>
        <w:t>- 27 -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_Toc30551 </w:instrText>
      </w:r>
      <w:r>
        <w:rPr>
          <w:rFonts w:hint="eastAsia"/>
          <w:sz w:val="21"/>
          <w:szCs w:val="24"/>
        </w:rPr>
        <w:fldChar w:fldCharType="separate"/>
      </w:r>
      <w:r>
        <w:rPr>
          <w:rFonts w:hint="eastAsia" w:eastAsia="Times New Roman"/>
          <w:sz w:val="21"/>
          <w:szCs w:val="24"/>
        </w:rPr>
        <w:t xml:space="preserve">3.1.2 </w:t>
      </w:r>
      <w:r>
        <w:rPr>
          <w:rFonts w:hint="eastAsia"/>
          <w:sz w:val="21"/>
          <w:szCs w:val="24"/>
        </w:rPr>
        <w:t>信息研判与会商</w:t>
      </w:r>
      <w:r>
        <w:rPr>
          <w:rFonts w:hint="eastAsia"/>
          <w:sz w:val="21"/>
          <w:szCs w:val="24"/>
        </w:rPr>
        <w:tab/>
      </w:r>
      <w:r>
        <w:rPr>
          <w:rFonts w:hint="eastAsia"/>
          <w:sz w:val="21"/>
          <w:szCs w:val="24"/>
        </w:rPr>
        <w:fldChar w:fldCharType="begin"/>
      </w:r>
      <w:r>
        <w:rPr>
          <w:rFonts w:hint="eastAsia"/>
          <w:sz w:val="21"/>
          <w:szCs w:val="24"/>
        </w:rPr>
        <w:instrText xml:space="preserve"> PAGEREF _Toc30551 </w:instrText>
      </w:r>
      <w:r>
        <w:rPr>
          <w:rFonts w:hint="eastAsia"/>
          <w:sz w:val="21"/>
          <w:szCs w:val="24"/>
        </w:rPr>
        <w:fldChar w:fldCharType="separate"/>
      </w:r>
      <w:r>
        <w:rPr>
          <w:rFonts w:hint="eastAsia"/>
          <w:sz w:val="21"/>
          <w:szCs w:val="24"/>
        </w:rPr>
        <w:t>- 28 -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_Toc26298 </w:instrText>
      </w:r>
      <w:r>
        <w:rPr>
          <w:rFonts w:hint="eastAsia"/>
          <w:sz w:val="21"/>
          <w:szCs w:val="24"/>
        </w:rPr>
        <w:fldChar w:fldCharType="separate"/>
      </w:r>
      <w:r>
        <w:rPr>
          <w:rFonts w:hint="eastAsia" w:eastAsia="Times New Roman"/>
          <w:sz w:val="21"/>
          <w:szCs w:val="24"/>
        </w:rPr>
        <w:t xml:space="preserve">3.2 </w:t>
      </w:r>
      <w:r>
        <w:rPr>
          <w:rFonts w:hint="eastAsia"/>
          <w:sz w:val="21"/>
          <w:szCs w:val="24"/>
        </w:rPr>
        <w:t>预警</w:t>
      </w:r>
      <w:r>
        <w:rPr>
          <w:rFonts w:hint="eastAsia"/>
          <w:sz w:val="21"/>
          <w:szCs w:val="24"/>
        </w:rPr>
        <w:tab/>
      </w:r>
      <w:r>
        <w:rPr>
          <w:rFonts w:hint="eastAsia"/>
          <w:sz w:val="21"/>
          <w:szCs w:val="24"/>
        </w:rPr>
        <w:fldChar w:fldCharType="begin"/>
      </w:r>
      <w:r>
        <w:rPr>
          <w:rFonts w:hint="eastAsia"/>
          <w:sz w:val="21"/>
          <w:szCs w:val="24"/>
        </w:rPr>
        <w:instrText xml:space="preserve"> PAGEREF _Toc26298 </w:instrText>
      </w:r>
      <w:r>
        <w:rPr>
          <w:rFonts w:hint="eastAsia"/>
          <w:sz w:val="21"/>
          <w:szCs w:val="24"/>
        </w:rPr>
        <w:fldChar w:fldCharType="separate"/>
      </w:r>
      <w:r>
        <w:rPr>
          <w:rFonts w:hint="eastAsia"/>
          <w:sz w:val="21"/>
          <w:szCs w:val="24"/>
        </w:rPr>
        <w:t>- 28 -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_Toc17813 </w:instrText>
      </w:r>
      <w:r>
        <w:rPr>
          <w:rFonts w:hint="eastAsia"/>
          <w:sz w:val="21"/>
          <w:szCs w:val="24"/>
        </w:rPr>
        <w:fldChar w:fldCharType="separate"/>
      </w:r>
      <w:r>
        <w:rPr>
          <w:rFonts w:hint="eastAsia" w:eastAsia="Times New Roman"/>
          <w:sz w:val="21"/>
          <w:szCs w:val="24"/>
        </w:rPr>
        <w:t xml:space="preserve">3.2.1 </w:t>
      </w:r>
      <w:r>
        <w:rPr>
          <w:rFonts w:hint="eastAsia"/>
          <w:sz w:val="21"/>
          <w:szCs w:val="24"/>
        </w:rPr>
        <w:t>预警分级</w:t>
      </w:r>
      <w:r>
        <w:rPr>
          <w:rFonts w:hint="eastAsia"/>
          <w:sz w:val="21"/>
          <w:szCs w:val="24"/>
        </w:rPr>
        <w:tab/>
      </w:r>
      <w:r>
        <w:rPr>
          <w:rFonts w:hint="eastAsia"/>
          <w:sz w:val="21"/>
          <w:szCs w:val="24"/>
        </w:rPr>
        <w:fldChar w:fldCharType="begin"/>
      </w:r>
      <w:r>
        <w:rPr>
          <w:rFonts w:hint="eastAsia"/>
          <w:sz w:val="21"/>
          <w:szCs w:val="24"/>
        </w:rPr>
        <w:instrText xml:space="preserve"> PAGEREF _Toc17813 </w:instrText>
      </w:r>
      <w:r>
        <w:rPr>
          <w:rFonts w:hint="eastAsia"/>
          <w:sz w:val="21"/>
          <w:szCs w:val="24"/>
        </w:rPr>
        <w:fldChar w:fldCharType="separate"/>
      </w:r>
      <w:r>
        <w:rPr>
          <w:rFonts w:hint="eastAsia"/>
          <w:sz w:val="21"/>
          <w:szCs w:val="24"/>
        </w:rPr>
        <w:t>- 28 -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_Toc2089 </w:instrText>
      </w:r>
      <w:r>
        <w:rPr>
          <w:rFonts w:hint="eastAsia"/>
          <w:sz w:val="21"/>
          <w:szCs w:val="24"/>
        </w:rPr>
        <w:fldChar w:fldCharType="separate"/>
      </w:r>
      <w:r>
        <w:rPr>
          <w:rFonts w:hint="eastAsia" w:eastAsia="Times New Roman"/>
          <w:sz w:val="21"/>
          <w:szCs w:val="24"/>
        </w:rPr>
        <w:t xml:space="preserve">3.2.2 </w:t>
      </w:r>
      <w:r>
        <w:rPr>
          <w:rFonts w:hint="eastAsia"/>
          <w:sz w:val="21"/>
          <w:szCs w:val="24"/>
        </w:rPr>
        <w:t>预警的启动条件</w:t>
      </w:r>
      <w:r>
        <w:rPr>
          <w:rFonts w:hint="eastAsia"/>
          <w:sz w:val="21"/>
          <w:szCs w:val="24"/>
        </w:rPr>
        <w:tab/>
      </w:r>
      <w:r>
        <w:rPr>
          <w:rFonts w:hint="eastAsia"/>
          <w:sz w:val="21"/>
          <w:szCs w:val="24"/>
        </w:rPr>
        <w:fldChar w:fldCharType="begin"/>
      </w:r>
      <w:r>
        <w:rPr>
          <w:rFonts w:hint="eastAsia"/>
          <w:sz w:val="21"/>
          <w:szCs w:val="24"/>
        </w:rPr>
        <w:instrText xml:space="preserve"> PAGEREF _Toc2089 </w:instrText>
      </w:r>
      <w:r>
        <w:rPr>
          <w:rFonts w:hint="eastAsia"/>
          <w:sz w:val="21"/>
          <w:szCs w:val="24"/>
        </w:rPr>
        <w:fldChar w:fldCharType="separate"/>
      </w:r>
      <w:r>
        <w:rPr>
          <w:rFonts w:hint="eastAsia"/>
          <w:sz w:val="21"/>
          <w:szCs w:val="24"/>
        </w:rPr>
        <w:t>- 29 -</w:t>
      </w:r>
      <w:r>
        <w:rPr>
          <w:rFonts w:hint="eastAsia"/>
          <w:sz w:val="21"/>
          <w:szCs w:val="24"/>
        </w:rPr>
        <w:fldChar w:fldCharType="end"/>
      </w:r>
      <w:r>
        <w:rPr>
          <w:rFonts w:hint="eastAsia"/>
          <w:sz w:val="21"/>
          <w:szCs w:val="24"/>
        </w:rPr>
        <w:fldChar w:fldCharType="end"/>
      </w:r>
    </w:p>
    <w:p>
      <w:pPr>
        <w:pStyle w:val="22"/>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_Toc12400 </w:instrText>
      </w:r>
      <w:r>
        <w:rPr>
          <w:rFonts w:hint="eastAsia"/>
          <w:sz w:val="21"/>
          <w:szCs w:val="24"/>
        </w:rPr>
        <w:fldChar w:fldCharType="separate"/>
      </w:r>
      <w:r>
        <w:rPr>
          <w:rFonts w:hint="eastAsia" w:eastAsia="Times New Roman"/>
          <w:sz w:val="21"/>
          <w:szCs w:val="24"/>
        </w:rPr>
        <w:t xml:space="preserve">3.2.2.1 </w:t>
      </w:r>
      <w:r>
        <w:rPr>
          <w:rFonts w:hint="eastAsia"/>
          <w:sz w:val="21"/>
          <w:szCs w:val="24"/>
        </w:rPr>
        <w:t>红色预警启动条件</w:t>
      </w:r>
      <w:r>
        <w:rPr>
          <w:rFonts w:hint="eastAsia"/>
          <w:sz w:val="21"/>
          <w:szCs w:val="24"/>
        </w:rPr>
        <w:tab/>
      </w:r>
      <w:r>
        <w:rPr>
          <w:rFonts w:hint="eastAsia"/>
          <w:sz w:val="21"/>
          <w:szCs w:val="24"/>
        </w:rPr>
        <w:fldChar w:fldCharType="begin"/>
      </w:r>
      <w:r>
        <w:rPr>
          <w:rFonts w:hint="eastAsia"/>
          <w:sz w:val="21"/>
          <w:szCs w:val="24"/>
        </w:rPr>
        <w:instrText xml:space="preserve"> PAGEREF _Toc12400 </w:instrText>
      </w:r>
      <w:r>
        <w:rPr>
          <w:rFonts w:hint="eastAsia"/>
          <w:sz w:val="21"/>
          <w:szCs w:val="24"/>
        </w:rPr>
        <w:fldChar w:fldCharType="separate"/>
      </w:r>
      <w:r>
        <w:rPr>
          <w:rFonts w:hint="eastAsia"/>
          <w:sz w:val="21"/>
          <w:szCs w:val="24"/>
        </w:rPr>
        <w:t>- 30 -</w:t>
      </w:r>
      <w:r>
        <w:rPr>
          <w:rFonts w:hint="eastAsia"/>
          <w:sz w:val="21"/>
          <w:szCs w:val="24"/>
        </w:rPr>
        <w:fldChar w:fldCharType="end"/>
      </w:r>
      <w:r>
        <w:rPr>
          <w:rFonts w:hint="eastAsia"/>
          <w:sz w:val="21"/>
          <w:szCs w:val="24"/>
        </w:rPr>
        <w:fldChar w:fldCharType="end"/>
      </w:r>
    </w:p>
    <w:p>
      <w:pPr>
        <w:pStyle w:val="22"/>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_Toc32582 </w:instrText>
      </w:r>
      <w:r>
        <w:rPr>
          <w:rFonts w:hint="eastAsia"/>
          <w:sz w:val="21"/>
          <w:szCs w:val="24"/>
        </w:rPr>
        <w:fldChar w:fldCharType="separate"/>
      </w:r>
      <w:r>
        <w:rPr>
          <w:rFonts w:hint="eastAsia" w:eastAsia="Times New Roman"/>
          <w:sz w:val="21"/>
          <w:szCs w:val="24"/>
        </w:rPr>
        <w:t xml:space="preserve">3.2.2.2 </w:t>
      </w:r>
      <w:r>
        <w:rPr>
          <w:rFonts w:hint="eastAsia"/>
          <w:sz w:val="21"/>
          <w:szCs w:val="24"/>
        </w:rPr>
        <w:t>橙色预警启动条件</w:t>
      </w:r>
      <w:r>
        <w:rPr>
          <w:rFonts w:hint="eastAsia"/>
          <w:sz w:val="21"/>
          <w:szCs w:val="24"/>
        </w:rPr>
        <w:tab/>
      </w:r>
      <w:r>
        <w:rPr>
          <w:rFonts w:hint="eastAsia"/>
          <w:sz w:val="21"/>
          <w:szCs w:val="24"/>
        </w:rPr>
        <w:fldChar w:fldCharType="begin"/>
      </w:r>
      <w:r>
        <w:rPr>
          <w:rFonts w:hint="eastAsia"/>
          <w:sz w:val="21"/>
          <w:szCs w:val="24"/>
        </w:rPr>
        <w:instrText xml:space="preserve"> PAGEREF _Toc32582 </w:instrText>
      </w:r>
      <w:r>
        <w:rPr>
          <w:rFonts w:hint="eastAsia"/>
          <w:sz w:val="21"/>
          <w:szCs w:val="24"/>
        </w:rPr>
        <w:fldChar w:fldCharType="separate"/>
      </w:r>
      <w:r>
        <w:rPr>
          <w:rFonts w:hint="eastAsia"/>
          <w:sz w:val="21"/>
          <w:szCs w:val="24"/>
        </w:rPr>
        <w:t>- 31 -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_Toc13495 </w:instrText>
      </w:r>
      <w:r>
        <w:rPr>
          <w:rFonts w:hint="eastAsia"/>
          <w:sz w:val="21"/>
          <w:szCs w:val="24"/>
        </w:rPr>
        <w:fldChar w:fldCharType="separate"/>
      </w:r>
      <w:r>
        <w:rPr>
          <w:rFonts w:hint="eastAsia" w:eastAsia="Times New Roman"/>
          <w:sz w:val="21"/>
          <w:szCs w:val="24"/>
        </w:rPr>
        <w:t xml:space="preserve">3.2.3 </w:t>
      </w:r>
      <w:r>
        <w:rPr>
          <w:rFonts w:hint="eastAsia"/>
          <w:sz w:val="21"/>
          <w:szCs w:val="24"/>
        </w:rPr>
        <w:t>发布预警和预警级别调整</w:t>
      </w:r>
      <w:r>
        <w:rPr>
          <w:rFonts w:hint="eastAsia"/>
          <w:sz w:val="21"/>
          <w:szCs w:val="24"/>
        </w:rPr>
        <w:tab/>
      </w:r>
      <w:r>
        <w:rPr>
          <w:rFonts w:hint="eastAsia"/>
          <w:sz w:val="21"/>
          <w:szCs w:val="24"/>
        </w:rPr>
        <w:fldChar w:fldCharType="begin"/>
      </w:r>
      <w:r>
        <w:rPr>
          <w:rFonts w:hint="eastAsia"/>
          <w:sz w:val="21"/>
          <w:szCs w:val="24"/>
        </w:rPr>
        <w:instrText xml:space="preserve"> PAGEREF _Toc13495 </w:instrText>
      </w:r>
      <w:r>
        <w:rPr>
          <w:rFonts w:hint="eastAsia"/>
          <w:sz w:val="21"/>
          <w:szCs w:val="24"/>
        </w:rPr>
        <w:fldChar w:fldCharType="separate"/>
      </w:r>
      <w:r>
        <w:rPr>
          <w:rFonts w:hint="eastAsia"/>
          <w:sz w:val="21"/>
          <w:szCs w:val="24"/>
        </w:rPr>
        <w:t>- 32 -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_Toc952 </w:instrText>
      </w:r>
      <w:r>
        <w:rPr>
          <w:rFonts w:hint="eastAsia"/>
          <w:sz w:val="21"/>
          <w:szCs w:val="24"/>
        </w:rPr>
        <w:fldChar w:fldCharType="separate"/>
      </w:r>
      <w:r>
        <w:rPr>
          <w:rFonts w:hint="eastAsia" w:eastAsia="Times New Roman"/>
          <w:sz w:val="21"/>
          <w:szCs w:val="24"/>
        </w:rPr>
        <w:t xml:space="preserve">3.2.4 </w:t>
      </w:r>
      <w:r>
        <w:rPr>
          <w:rFonts w:hint="eastAsia"/>
          <w:sz w:val="21"/>
          <w:szCs w:val="24"/>
        </w:rPr>
        <w:t>预警行动</w:t>
      </w:r>
      <w:r>
        <w:rPr>
          <w:rFonts w:hint="eastAsia"/>
          <w:sz w:val="21"/>
          <w:szCs w:val="24"/>
        </w:rPr>
        <w:tab/>
      </w:r>
      <w:r>
        <w:rPr>
          <w:rFonts w:hint="eastAsia"/>
          <w:sz w:val="21"/>
          <w:szCs w:val="24"/>
        </w:rPr>
        <w:fldChar w:fldCharType="begin"/>
      </w:r>
      <w:r>
        <w:rPr>
          <w:rFonts w:hint="eastAsia"/>
          <w:sz w:val="21"/>
          <w:szCs w:val="24"/>
        </w:rPr>
        <w:instrText xml:space="preserve"> PAGEREF _Toc952 </w:instrText>
      </w:r>
      <w:r>
        <w:rPr>
          <w:rFonts w:hint="eastAsia"/>
          <w:sz w:val="21"/>
          <w:szCs w:val="24"/>
        </w:rPr>
        <w:fldChar w:fldCharType="separate"/>
      </w:r>
      <w:r>
        <w:rPr>
          <w:rFonts w:hint="eastAsia"/>
          <w:sz w:val="21"/>
          <w:szCs w:val="24"/>
        </w:rPr>
        <w:t>- 33 -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_Toc2343 </w:instrText>
      </w:r>
      <w:r>
        <w:rPr>
          <w:rFonts w:hint="eastAsia"/>
          <w:sz w:val="21"/>
          <w:szCs w:val="24"/>
        </w:rPr>
        <w:fldChar w:fldCharType="separate"/>
      </w:r>
      <w:r>
        <w:rPr>
          <w:rFonts w:hint="eastAsia" w:eastAsia="Times New Roman"/>
          <w:sz w:val="21"/>
          <w:szCs w:val="24"/>
        </w:rPr>
        <w:t xml:space="preserve">3.2.5 </w:t>
      </w:r>
      <w:r>
        <w:rPr>
          <w:rFonts w:hint="eastAsia"/>
          <w:sz w:val="21"/>
          <w:szCs w:val="24"/>
        </w:rPr>
        <w:t>预警解除</w:t>
      </w:r>
      <w:r>
        <w:rPr>
          <w:rFonts w:hint="eastAsia"/>
          <w:sz w:val="21"/>
          <w:szCs w:val="24"/>
        </w:rPr>
        <w:tab/>
      </w:r>
      <w:r>
        <w:rPr>
          <w:rFonts w:hint="eastAsia"/>
          <w:sz w:val="21"/>
          <w:szCs w:val="24"/>
        </w:rPr>
        <w:fldChar w:fldCharType="begin"/>
      </w:r>
      <w:r>
        <w:rPr>
          <w:rFonts w:hint="eastAsia"/>
          <w:sz w:val="21"/>
          <w:szCs w:val="24"/>
        </w:rPr>
        <w:instrText xml:space="preserve"> PAGEREF _Toc2343 </w:instrText>
      </w:r>
      <w:r>
        <w:rPr>
          <w:rFonts w:hint="eastAsia"/>
          <w:sz w:val="21"/>
          <w:szCs w:val="24"/>
        </w:rPr>
        <w:fldChar w:fldCharType="separate"/>
      </w:r>
      <w:r>
        <w:rPr>
          <w:rFonts w:hint="eastAsia"/>
          <w:sz w:val="21"/>
          <w:szCs w:val="24"/>
        </w:rPr>
        <w:t>- 35 -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_Toc8249 </w:instrText>
      </w:r>
      <w:r>
        <w:rPr>
          <w:rFonts w:hint="eastAsia"/>
          <w:sz w:val="21"/>
          <w:szCs w:val="24"/>
        </w:rPr>
        <w:fldChar w:fldCharType="separate"/>
      </w:r>
      <w:r>
        <w:rPr>
          <w:rFonts w:hint="eastAsia" w:eastAsia="Times New Roman"/>
          <w:sz w:val="21"/>
          <w:szCs w:val="24"/>
        </w:rPr>
        <w:t xml:space="preserve">3.3 </w:t>
      </w:r>
      <w:r>
        <w:rPr>
          <w:rFonts w:hint="eastAsia"/>
          <w:sz w:val="21"/>
          <w:szCs w:val="24"/>
        </w:rPr>
        <w:t>响应分级</w:t>
      </w:r>
      <w:r>
        <w:rPr>
          <w:rFonts w:hint="eastAsia"/>
          <w:sz w:val="21"/>
          <w:szCs w:val="24"/>
        </w:rPr>
        <w:tab/>
      </w:r>
      <w:r>
        <w:rPr>
          <w:rFonts w:hint="eastAsia"/>
          <w:sz w:val="21"/>
          <w:szCs w:val="24"/>
        </w:rPr>
        <w:fldChar w:fldCharType="begin"/>
      </w:r>
      <w:r>
        <w:rPr>
          <w:rFonts w:hint="eastAsia"/>
          <w:sz w:val="21"/>
          <w:szCs w:val="24"/>
        </w:rPr>
        <w:instrText xml:space="preserve"> PAGEREF _Toc8249 </w:instrText>
      </w:r>
      <w:r>
        <w:rPr>
          <w:rFonts w:hint="eastAsia"/>
          <w:sz w:val="21"/>
          <w:szCs w:val="24"/>
        </w:rPr>
        <w:fldChar w:fldCharType="separate"/>
      </w:r>
      <w:r>
        <w:rPr>
          <w:rFonts w:hint="eastAsia"/>
          <w:sz w:val="21"/>
          <w:szCs w:val="24"/>
        </w:rPr>
        <w:t>- 35 -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_Toc10451 </w:instrText>
      </w:r>
      <w:r>
        <w:rPr>
          <w:rFonts w:hint="eastAsia"/>
          <w:sz w:val="21"/>
          <w:szCs w:val="24"/>
        </w:rPr>
        <w:fldChar w:fldCharType="separate"/>
      </w:r>
      <w:r>
        <w:rPr>
          <w:rFonts w:hint="eastAsia" w:eastAsia="Times New Roman"/>
          <w:sz w:val="21"/>
          <w:szCs w:val="24"/>
        </w:rPr>
        <w:t xml:space="preserve">3.4 </w:t>
      </w:r>
      <w:r>
        <w:rPr>
          <w:rFonts w:hint="eastAsia"/>
          <w:sz w:val="21"/>
          <w:szCs w:val="24"/>
        </w:rPr>
        <w:t>信息报告与通报</w:t>
      </w:r>
      <w:r>
        <w:rPr>
          <w:rFonts w:hint="eastAsia"/>
          <w:sz w:val="21"/>
          <w:szCs w:val="24"/>
        </w:rPr>
        <w:tab/>
      </w:r>
      <w:r>
        <w:rPr>
          <w:rFonts w:hint="eastAsia"/>
          <w:sz w:val="21"/>
          <w:szCs w:val="24"/>
        </w:rPr>
        <w:fldChar w:fldCharType="begin"/>
      </w:r>
      <w:r>
        <w:rPr>
          <w:rFonts w:hint="eastAsia"/>
          <w:sz w:val="21"/>
          <w:szCs w:val="24"/>
        </w:rPr>
        <w:instrText xml:space="preserve"> PAGEREF _Toc10451 </w:instrText>
      </w:r>
      <w:r>
        <w:rPr>
          <w:rFonts w:hint="eastAsia"/>
          <w:sz w:val="21"/>
          <w:szCs w:val="24"/>
        </w:rPr>
        <w:fldChar w:fldCharType="separate"/>
      </w:r>
      <w:r>
        <w:rPr>
          <w:rFonts w:hint="eastAsia"/>
          <w:sz w:val="21"/>
          <w:szCs w:val="24"/>
        </w:rPr>
        <w:t>- 36 -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_Toc6598 </w:instrText>
      </w:r>
      <w:r>
        <w:rPr>
          <w:rFonts w:hint="eastAsia"/>
          <w:sz w:val="21"/>
          <w:szCs w:val="24"/>
        </w:rPr>
        <w:fldChar w:fldCharType="separate"/>
      </w:r>
      <w:r>
        <w:rPr>
          <w:rFonts w:hint="eastAsia" w:eastAsia="Times New Roman"/>
          <w:sz w:val="21"/>
          <w:szCs w:val="24"/>
        </w:rPr>
        <w:t xml:space="preserve">3.4.1 </w:t>
      </w:r>
      <w:r>
        <w:rPr>
          <w:rFonts w:hint="eastAsia"/>
          <w:sz w:val="21"/>
          <w:szCs w:val="24"/>
        </w:rPr>
        <w:t>信息报告</w:t>
      </w:r>
      <w:r>
        <w:rPr>
          <w:rFonts w:hint="eastAsia"/>
          <w:sz w:val="21"/>
          <w:szCs w:val="24"/>
        </w:rPr>
        <w:tab/>
      </w:r>
      <w:r>
        <w:rPr>
          <w:rFonts w:hint="eastAsia"/>
          <w:sz w:val="21"/>
          <w:szCs w:val="24"/>
        </w:rPr>
        <w:fldChar w:fldCharType="begin"/>
      </w:r>
      <w:r>
        <w:rPr>
          <w:rFonts w:hint="eastAsia"/>
          <w:sz w:val="21"/>
          <w:szCs w:val="24"/>
        </w:rPr>
        <w:instrText xml:space="preserve"> PAGEREF _Toc6598 </w:instrText>
      </w:r>
      <w:r>
        <w:rPr>
          <w:rFonts w:hint="eastAsia"/>
          <w:sz w:val="21"/>
          <w:szCs w:val="24"/>
        </w:rPr>
        <w:fldChar w:fldCharType="separate"/>
      </w:r>
      <w:r>
        <w:rPr>
          <w:rFonts w:hint="eastAsia"/>
          <w:sz w:val="21"/>
          <w:szCs w:val="24"/>
        </w:rPr>
        <w:t>- 37 -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_Toc2582 </w:instrText>
      </w:r>
      <w:r>
        <w:rPr>
          <w:rFonts w:hint="eastAsia"/>
          <w:sz w:val="21"/>
          <w:szCs w:val="24"/>
        </w:rPr>
        <w:fldChar w:fldCharType="separate"/>
      </w:r>
      <w:r>
        <w:rPr>
          <w:rFonts w:hint="eastAsia" w:eastAsia="Times New Roman"/>
          <w:sz w:val="21"/>
          <w:szCs w:val="24"/>
        </w:rPr>
        <w:t xml:space="preserve">3.4.2 </w:t>
      </w:r>
      <w:r>
        <w:rPr>
          <w:rFonts w:hint="eastAsia"/>
          <w:sz w:val="21"/>
          <w:szCs w:val="24"/>
        </w:rPr>
        <w:t>信息通报</w:t>
      </w:r>
      <w:r>
        <w:rPr>
          <w:rFonts w:hint="eastAsia"/>
          <w:sz w:val="21"/>
          <w:szCs w:val="24"/>
        </w:rPr>
        <w:tab/>
      </w:r>
      <w:r>
        <w:rPr>
          <w:rFonts w:hint="eastAsia"/>
          <w:sz w:val="21"/>
          <w:szCs w:val="24"/>
        </w:rPr>
        <w:fldChar w:fldCharType="begin"/>
      </w:r>
      <w:r>
        <w:rPr>
          <w:rFonts w:hint="eastAsia"/>
          <w:sz w:val="21"/>
          <w:szCs w:val="24"/>
        </w:rPr>
        <w:instrText xml:space="preserve"> PAGEREF _Toc2582 </w:instrText>
      </w:r>
      <w:r>
        <w:rPr>
          <w:rFonts w:hint="eastAsia"/>
          <w:sz w:val="21"/>
          <w:szCs w:val="24"/>
        </w:rPr>
        <w:fldChar w:fldCharType="separate"/>
      </w:r>
      <w:r>
        <w:rPr>
          <w:rFonts w:hint="eastAsia"/>
          <w:sz w:val="21"/>
          <w:szCs w:val="24"/>
        </w:rPr>
        <w:t>- 38 -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_Toc1371 </w:instrText>
      </w:r>
      <w:r>
        <w:rPr>
          <w:rFonts w:hint="eastAsia"/>
          <w:sz w:val="21"/>
          <w:szCs w:val="24"/>
        </w:rPr>
        <w:fldChar w:fldCharType="separate"/>
      </w:r>
      <w:r>
        <w:rPr>
          <w:rFonts w:hint="eastAsia" w:eastAsia="Times New Roman"/>
          <w:sz w:val="21"/>
          <w:szCs w:val="24"/>
        </w:rPr>
        <w:t xml:space="preserve">3.5 </w:t>
      </w:r>
      <w:r>
        <w:rPr>
          <w:rFonts w:hint="eastAsia"/>
          <w:sz w:val="21"/>
          <w:szCs w:val="24"/>
        </w:rPr>
        <w:t>事态研判</w:t>
      </w:r>
      <w:r>
        <w:rPr>
          <w:rFonts w:hint="eastAsia"/>
          <w:sz w:val="21"/>
          <w:szCs w:val="24"/>
        </w:rPr>
        <w:tab/>
      </w:r>
      <w:r>
        <w:rPr>
          <w:rFonts w:hint="eastAsia"/>
          <w:sz w:val="21"/>
          <w:szCs w:val="24"/>
        </w:rPr>
        <w:fldChar w:fldCharType="begin"/>
      </w:r>
      <w:r>
        <w:rPr>
          <w:rFonts w:hint="eastAsia"/>
          <w:sz w:val="21"/>
          <w:szCs w:val="24"/>
        </w:rPr>
        <w:instrText xml:space="preserve"> PAGEREF _Toc1371 </w:instrText>
      </w:r>
      <w:r>
        <w:rPr>
          <w:rFonts w:hint="eastAsia"/>
          <w:sz w:val="21"/>
          <w:szCs w:val="24"/>
        </w:rPr>
        <w:fldChar w:fldCharType="separate"/>
      </w:r>
      <w:r>
        <w:rPr>
          <w:rFonts w:hint="eastAsia"/>
          <w:sz w:val="21"/>
          <w:szCs w:val="24"/>
        </w:rPr>
        <w:t>- 39 -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_Toc11745 </w:instrText>
      </w:r>
      <w:r>
        <w:rPr>
          <w:rFonts w:hint="eastAsia"/>
          <w:sz w:val="21"/>
          <w:szCs w:val="24"/>
        </w:rPr>
        <w:fldChar w:fldCharType="separate"/>
      </w:r>
      <w:r>
        <w:rPr>
          <w:rFonts w:hint="eastAsia" w:eastAsia="Times New Roman"/>
          <w:sz w:val="21"/>
          <w:szCs w:val="24"/>
        </w:rPr>
        <w:t xml:space="preserve">3.6 </w:t>
      </w:r>
      <w:r>
        <w:rPr>
          <w:rFonts w:hint="eastAsia"/>
          <w:sz w:val="21"/>
          <w:szCs w:val="24"/>
        </w:rPr>
        <w:t>应急监测</w:t>
      </w:r>
      <w:r>
        <w:rPr>
          <w:rFonts w:hint="eastAsia"/>
          <w:sz w:val="21"/>
          <w:szCs w:val="24"/>
        </w:rPr>
        <w:tab/>
      </w:r>
      <w:r>
        <w:rPr>
          <w:rFonts w:hint="eastAsia"/>
          <w:sz w:val="21"/>
          <w:szCs w:val="24"/>
        </w:rPr>
        <w:fldChar w:fldCharType="begin"/>
      </w:r>
      <w:r>
        <w:rPr>
          <w:rFonts w:hint="eastAsia"/>
          <w:sz w:val="21"/>
          <w:szCs w:val="24"/>
        </w:rPr>
        <w:instrText xml:space="preserve"> PAGEREF _Toc11745 </w:instrText>
      </w:r>
      <w:r>
        <w:rPr>
          <w:rFonts w:hint="eastAsia"/>
          <w:sz w:val="21"/>
          <w:szCs w:val="24"/>
        </w:rPr>
        <w:fldChar w:fldCharType="separate"/>
      </w:r>
      <w:r>
        <w:rPr>
          <w:rFonts w:hint="eastAsia"/>
          <w:sz w:val="21"/>
          <w:szCs w:val="24"/>
        </w:rPr>
        <w:t>- 40 -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_Toc10362 </w:instrText>
      </w:r>
      <w:r>
        <w:rPr>
          <w:rFonts w:hint="eastAsia"/>
          <w:sz w:val="21"/>
          <w:szCs w:val="24"/>
        </w:rPr>
        <w:fldChar w:fldCharType="separate"/>
      </w:r>
      <w:r>
        <w:rPr>
          <w:rFonts w:hint="eastAsia" w:eastAsia="Times New Roman"/>
          <w:sz w:val="21"/>
          <w:szCs w:val="24"/>
        </w:rPr>
        <w:t xml:space="preserve">3.6.1 </w:t>
      </w:r>
      <w:r>
        <w:rPr>
          <w:rFonts w:hint="eastAsia"/>
          <w:sz w:val="21"/>
          <w:szCs w:val="24"/>
        </w:rPr>
        <w:t>应急监测程序</w:t>
      </w:r>
      <w:r>
        <w:rPr>
          <w:rFonts w:hint="eastAsia"/>
          <w:sz w:val="21"/>
          <w:szCs w:val="24"/>
        </w:rPr>
        <w:tab/>
      </w:r>
      <w:r>
        <w:rPr>
          <w:rFonts w:hint="eastAsia"/>
          <w:sz w:val="21"/>
          <w:szCs w:val="24"/>
        </w:rPr>
        <w:fldChar w:fldCharType="begin"/>
      </w:r>
      <w:r>
        <w:rPr>
          <w:rFonts w:hint="eastAsia"/>
          <w:sz w:val="21"/>
          <w:szCs w:val="24"/>
        </w:rPr>
        <w:instrText xml:space="preserve"> PAGEREF _Toc10362 </w:instrText>
      </w:r>
      <w:r>
        <w:rPr>
          <w:rFonts w:hint="eastAsia"/>
          <w:sz w:val="21"/>
          <w:szCs w:val="24"/>
        </w:rPr>
        <w:fldChar w:fldCharType="separate"/>
      </w:r>
      <w:r>
        <w:rPr>
          <w:rFonts w:hint="eastAsia"/>
          <w:sz w:val="21"/>
          <w:szCs w:val="24"/>
        </w:rPr>
        <w:t>- 40 -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_Toc21151 </w:instrText>
      </w:r>
      <w:r>
        <w:rPr>
          <w:rFonts w:hint="eastAsia"/>
          <w:sz w:val="21"/>
          <w:szCs w:val="24"/>
        </w:rPr>
        <w:fldChar w:fldCharType="separate"/>
      </w:r>
      <w:r>
        <w:rPr>
          <w:rFonts w:hint="eastAsia" w:eastAsia="Times New Roman"/>
          <w:sz w:val="21"/>
          <w:szCs w:val="24"/>
        </w:rPr>
        <w:t xml:space="preserve">3.6.2 </w:t>
      </w:r>
      <w:r>
        <w:rPr>
          <w:rFonts w:hint="eastAsia"/>
          <w:sz w:val="21"/>
          <w:szCs w:val="24"/>
        </w:rPr>
        <w:t>应急监测方案</w:t>
      </w:r>
      <w:r>
        <w:rPr>
          <w:rFonts w:hint="eastAsia"/>
          <w:sz w:val="21"/>
          <w:szCs w:val="24"/>
        </w:rPr>
        <w:tab/>
      </w:r>
      <w:r>
        <w:rPr>
          <w:rFonts w:hint="eastAsia"/>
          <w:sz w:val="21"/>
          <w:szCs w:val="24"/>
        </w:rPr>
        <w:fldChar w:fldCharType="begin"/>
      </w:r>
      <w:r>
        <w:rPr>
          <w:rFonts w:hint="eastAsia"/>
          <w:sz w:val="21"/>
          <w:szCs w:val="24"/>
        </w:rPr>
        <w:instrText xml:space="preserve"> PAGEREF _Toc21151 </w:instrText>
      </w:r>
      <w:r>
        <w:rPr>
          <w:rFonts w:hint="eastAsia"/>
          <w:sz w:val="21"/>
          <w:szCs w:val="24"/>
        </w:rPr>
        <w:fldChar w:fldCharType="separate"/>
      </w:r>
      <w:r>
        <w:rPr>
          <w:rFonts w:hint="eastAsia"/>
          <w:sz w:val="21"/>
          <w:szCs w:val="24"/>
        </w:rPr>
        <w:t>- 40 -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_Toc25363 </w:instrText>
      </w:r>
      <w:r>
        <w:rPr>
          <w:rFonts w:hint="eastAsia"/>
          <w:sz w:val="21"/>
          <w:szCs w:val="24"/>
        </w:rPr>
        <w:fldChar w:fldCharType="separate"/>
      </w:r>
      <w:r>
        <w:rPr>
          <w:rFonts w:hint="eastAsia" w:eastAsia="Times New Roman"/>
          <w:sz w:val="21"/>
          <w:szCs w:val="24"/>
        </w:rPr>
        <w:t xml:space="preserve">3.7 </w:t>
      </w:r>
      <w:r>
        <w:rPr>
          <w:rFonts w:hint="eastAsia"/>
          <w:sz w:val="21"/>
          <w:szCs w:val="24"/>
        </w:rPr>
        <w:t>污染源排查与处置</w:t>
      </w:r>
      <w:r>
        <w:rPr>
          <w:rFonts w:hint="eastAsia"/>
          <w:sz w:val="21"/>
          <w:szCs w:val="24"/>
        </w:rPr>
        <w:tab/>
      </w:r>
      <w:r>
        <w:rPr>
          <w:rFonts w:hint="eastAsia"/>
          <w:sz w:val="21"/>
          <w:szCs w:val="24"/>
        </w:rPr>
        <w:fldChar w:fldCharType="begin"/>
      </w:r>
      <w:r>
        <w:rPr>
          <w:rFonts w:hint="eastAsia"/>
          <w:sz w:val="21"/>
          <w:szCs w:val="24"/>
        </w:rPr>
        <w:instrText xml:space="preserve"> PAGEREF _Toc25363 </w:instrText>
      </w:r>
      <w:r>
        <w:rPr>
          <w:rFonts w:hint="eastAsia"/>
          <w:sz w:val="21"/>
          <w:szCs w:val="24"/>
        </w:rPr>
        <w:fldChar w:fldCharType="separate"/>
      </w:r>
      <w:r>
        <w:rPr>
          <w:rFonts w:hint="eastAsia"/>
          <w:sz w:val="21"/>
          <w:szCs w:val="24"/>
        </w:rPr>
        <w:t>- 44 -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_Toc12033 </w:instrText>
      </w:r>
      <w:r>
        <w:rPr>
          <w:rFonts w:hint="eastAsia"/>
          <w:sz w:val="21"/>
          <w:szCs w:val="24"/>
        </w:rPr>
        <w:fldChar w:fldCharType="separate"/>
      </w:r>
      <w:r>
        <w:rPr>
          <w:rFonts w:hint="eastAsia" w:eastAsia="Times New Roman"/>
          <w:sz w:val="21"/>
          <w:szCs w:val="24"/>
        </w:rPr>
        <w:t xml:space="preserve">3.7.1 </w:t>
      </w:r>
      <w:r>
        <w:rPr>
          <w:rFonts w:hint="eastAsia"/>
          <w:sz w:val="21"/>
          <w:szCs w:val="24"/>
        </w:rPr>
        <w:t>明确排查对象</w:t>
      </w:r>
      <w:r>
        <w:rPr>
          <w:rFonts w:hint="eastAsia"/>
          <w:sz w:val="21"/>
          <w:szCs w:val="24"/>
        </w:rPr>
        <w:tab/>
      </w:r>
      <w:r>
        <w:rPr>
          <w:rFonts w:hint="eastAsia"/>
          <w:sz w:val="21"/>
          <w:szCs w:val="24"/>
        </w:rPr>
        <w:fldChar w:fldCharType="begin"/>
      </w:r>
      <w:r>
        <w:rPr>
          <w:rFonts w:hint="eastAsia"/>
          <w:sz w:val="21"/>
          <w:szCs w:val="24"/>
        </w:rPr>
        <w:instrText xml:space="preserve"> PAGEREF _Toc12033 </w:instrText>
      </w:r>
      <w:r>
        <w:rPr>
          <w:rFonts w:hint="eastAsia"/>
          <w:sz w:val="21"/>
          <w:szCs w:val="24"/>
        </w:rPr>
        <w:fldChar w:fldCharType="separate"/>
      </w:r>
      <w:r>
        <w:rPr>
          <w:rFonts w:hint="eastAsia"/>
          <w:sz w:val="21"/>
          <w:szCs w:val="24"/>
        </w:rPr>
        <w:t>- 44 -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_Toc5511 </w:instrText>
      </w:r>
      <w:r>
        <w:rPr>
          <w:rFonts w:hint="eastAsia"/>
          <w:sz w:val="21"/>
          <w:szCs w:val="24"/>
        </w:rPr>
        <w:fldChar w:fldCharType="separate"/>
      </w:r>
      <w:r>
        <w:rPr>
          <w:rFonts w:hint="eastAsia" w:eastAsia="Times New Roman"/>
          <w:sz w:val="21"/>
          <w:szCs w:val="24"/>
        </w:rPr>
        <w:t xml:space="preserve">3.7.2 </w:t>
      </w:r>
      <w:r>
        <w:rPr>
          <w:rFonts w:hint="eastAsia"/>
          <w:sz w:val="21"/>
          <w:szCs w:val="24"/>
        </w:rPr>
        <w:t>切断污染源</w:t>
      </w:r>
      <w:r>
        <w:rPr>
          <w:rFonts w:hint="eastAsia"/>
          <w:sz w:val="21"/>
          <w:szCs w:val="24"/>
        </w:rPr>
        <w:tab/>
      </w:r>
      <w:r>
        <w:rPr>
          <w:rFonts w:hint="eastAsia"/>
          <w:sz w:val="21"/>
          <w:szCs w:val="24"/>
        </w:rPr>
        <w:fldChar w:fldCharType="begin"/>
      </w:r>
      <w:r>
        <w:rPr>
          <w:rFonts w:hint="eastAsia"/>
          <w:sz w:val="21"/>
          <w:szCs w:val="24"/>
        </w:rPr>
        <w:instrText xml:space="preserve"> PAGEREF _Toc5511 </w:instrText>
      </w:r>
      <w:r>
        <w:rPr>
          <w:rFonts w:hint="eastAsia"/>
          <w:sz w:val="21"/>
          <w:szCs w:val="24"/>
        </w:rPr>
        <w:fldChar w:fldCharType="separate"/>
      </w:r>
      <w:r>
        <w:rPr>
          <w:rFonts w:hint="eastAsia"/>
          <w:sz w:val="21"/>
          <w:szCs w:val="24"/>
        </w:rPr>
        <w:t>- 45 -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_Toc31861 </w:instrText>
      </w:r>
      <w:r>
        <w:rPr>
          <w:rFonts w:hint="eastAsia"/>
          <w:sz w:val="21"/>
          <w:szCs w:val="24"/>
        </w:rPr>
        <w:fldChar w:fldCharType="separate"/>
      </w:r>
      <w:r>
        <w:rPr>
          <w:rFonts w:hint="eastAsia" w:eastAsia="Times New Roman"/>
          <w:sz w:val="21"/>
          <w:szCs w:val="24"/>
        </w:rPr>
        <w:t xml:space="preserve">3.8 </w:t>
      </w:r>
      <w:r>
        <w:rPr>
          <w:rFonts w:hint="eastAsia"/>
          <w:sz w:val="21"/>
          <w:szCs w:val="24"/>
        </w:rPr>
        <w:t>应急处置</w:t>
      </w:r>
      <w:r>
        <w:rPr>
          <w:rFonts w:hint="eastAsia"/>
          <w:sz w:val="21"/>
          <w:szCs w:val="24"/>
        </w:rPr>
        <w:tab/>
      </w:r>
      <w:r>
        <w:rPr>
          <w:rFonts w:hint="eastAsia"/>
          <w:sz w:val="21"/>
          <w:szCs w:val="24"/>
        </w:rPr>
        <w:fldChar w:fldCharType="begin"/>
      </w:r>
      <w:r>
        <w:rPr>
          <w:rFonts w:hint="eastAsia"/>
          <w:sz w:val="21"/>
          <w:szCs w:val="24"/>
        </w:rPr>
        <w:instrText xml:space="preserve"> PAGEREF _Toc31861 </w:instrText>
      </w:r>
      <w:r>
        <w:rPr>
          <w:rFonts w:hint="eastAsia"/>
          <w:sz w:val="21"/>
          <w:szCs w:val="24"/>
        </w:rPr>
        <w:fldChar w:fldCharType="separate"/>
      </w:r>
      <w:r>
        <w:rPr>
          <w:rFonts w:hint="eastAsia"/>
          <w:sz w:val="21"/>
          <w:szCs w:val="24"/>
        </w:rPr>
        <w:t>- 45 -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_Toc19416 </w:instrText>
      </w:r>
      <w:r>
        <w:rPr>
          <w:rFonts w:hint="eastAsia"/>
          <w:sz w:val="21"/>
          <w:szCs w:val="24"/>
        </w:rPr>
        <w:fldChar w:fldCharType="separate"/>
      </w:r>
      <w:r>
        <w:rPr>
          <w:rFonts w:hint="eastAsia" w:eastAsia="Times New Roman"/>
          <w:sz w:val="21"/>
          <w:szCs w:val="24"/>
        </w:rPr>
        <w:t xml:space="preserve">3.8.1 </w:t>
      </w:r>
      <w:r>
        <w:rPr>
          <w:rFonts w:hint="eastAsia"/>
          <w:sz w:val="21"/>
          <w:szCs w:val="24"/>
        </w:rPr>
        <w:t>制定现场应急处置方案</w:t>
      </w:r>
      <w:r>
        <w:rPr>
          <w:rFonts w:hint="eastAsia"/>
          <w:sz w:val="21"/>
          <w:szCs w:val="24"/>
        </w:rPr>
        <w:tab/>
      </w:r>
      <w:r>
        <w:rPr>
          <w:rFonts w:hint="eastAsia"/>
          <w:sz w:val="21"/>
          <w:szCs w:val="24"/>
        </w:rPr>
        <w:fldChar w:fldCharType="begin"/>
      </w:r>
      <w:r>
        <w:rPr>
          <w:rFonts w:hint="eastAsia"/>
          <w:sz w:val="21"/>
          <w:szCs w:val="24"/>
        </w:rPr>
        <w:instrText xml:space="preserve"> PAGEREF _Toc19416 </w:instrText>
      </w:r>
      <w:r>
        <w:rPr>
          <w:rFonts w:hint="eastAsia"/>
          <w:sz w:val="21"/>
          <w:szCs w:val="24"/>
        </w:rPr>
        <w:fldChar w:fldCharType="separate"/>
      </w:r>
      <w:r>
        <w:rPr>
          <w:rFonts w:hint="eastAsia"/>
          <w:sz w:val="21"/>
          <w:szCs w:val="24"/>
        </w:rPr>
        <w:t>- 46 -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_Toc5657 </w:instrText>
      </w:r>
      <w:r>
        <w:rPr>
          <w:rFonts w:hint="eastAsia"/>
          <w:sz w:val="21"/>
          <w:szCs w:val="24"/>
        </w:rPr>
        <w:fldChar w:fldCharType="separate"/>
      </w:r>
      <w:r>
        <w:rPr>
          <w:rFonts w:hint="eastAsia" w:eastAsia="Times New Roman"/>
          <w:sz w:val="21"/>
          <w:szCs w:val="24"/>
        </w:rPr>
        <w:t xml:space="preserve">3.8.2 </w:t>
      </w:r>
      <w:r>
        <w:rPr>
          <w:rFonts w:hint="eastAsia"/>
          <w:sz w:val="21"/>
          <w:szCs w:val="24"/>
        </w:rPr>
        <w:t>供水安全保障</w:t>
      </w:r>
      <w:r>
        <w:rPr>
          <w:rFonts w:hint="eastAsia"/>
          <w:sz w:val="21"/>
          <w:szCs w:val="24"/>
        </w:rPr>
        <w:tab/>
      </w:r>
      <w:r>
        <w:rPr>
          <w:rFonts w:hint="eastAsia"/>
          <w:sz w:val="21"/>
          <w:szCs w:val="24"/>
        </w:rPr>
        <w:fldChar w:fldCharType="begin"/>
      </w:r>
      <w:r>
        <w:rPr>
          <w:rFonts w:hint="eastAsia"/>
          <w:sz w:val="21"/>
          <w:szCs w:val="24"/>
        </w:rPr>
        <w:instrText xml:space="preserve"> PAGEREF _Toc5657 </w:instrText>
      </w:r>
      <w:r>
        <w:rPr>
          <w:rFonts w:hint="eastAsia"/>
          <w:sz w:val="21"/>
          <w:szCs w:val="24"/>
        </w:rPr>
        <w:fldChar w:fldCharType="separate"/>
      </w:r>
      <w:r>
        <w:rPr>
          <w:rFonts w:hint="eastAsia"/>
          <w:sz w:val="21"/>
          <w:szCs w:val="24"/>
        </w:rPr>
        <w:t>- 48 -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_Toc22622 </w:instrText>
      </w:r>
      <w:r>
        <w:rPr>
          <w:rFonts w:hint="eastAsia"/>
          <w:sz w:val="21"/>
          <w:szCs w:val="24"/>
        </w:rPr>
        <w:fldChar w:fldCharType="separate"/>
      </w:r>
      <w:r>
        <w:rPr>
          <w:rFonts w:hint="eastAsia" w:eastAsia="Times New Roman"/>
          <w:sz w:val="21"/>
          <w:szCs w:val="24"/>
        </w:rPr>
        <w:t xml:space="preserve">3.9 </w:t>
      </w:r>
      <w:r>
        <w:rPr>
          <w:rFonts w:hint="eastAsia"/>
          <w:sz w:val="21"/>
          <w:szCs w:val="24"/>
        </w:rPr>
        <w:t>物资调集及应急设施启用</w:t>
      </w:r>
      <w:r>
        <w:rPr>
          <w:rFonts w:hint="eastAsia"/>
          <w:sz w:val="21"/>
          <w:szCs w:val="24"/>
        </w:rPr>
        <w:tab/>
      </w:r>
      <w:r>
        <w:rPr>
          <w:rFonts w:hint="eastAsia"/>
          <w:sz w:val="21"/>
          <w:szCs w:val="24"/>
        </w:rPr>
        <w:fldChar w:fldCharType="begin"/>
      </w:r>
      <w:r>
        <w:rPr>
          <w:rFonts w:hint="eastAsia"/>
          <w:sz w:val="21"/>
          <w:szCs w:val="24"/>
        </w:rPr>
        <w:instrText xml:space="preserve"> PAGEREF _Toc22622 </w:instrText>
      </w:r>
      <w:r>
        <w:rPr>
          <w:rFonts w:hint="eastAsia"/>
          <w:sz w:val="21"/>
          <w:szCs w:val="24"/>
        </w:rPr>
        <w:fldChar w:fldCharType="separate"/>
      </w:r>
      <w:r>
        <w:rPr>
          <w:rFonts w:hint="eastAsia"/>
          <w:sz w:val="21"/>
          <w:szCs w:val="24"/>
        </w:rPr>
        <w:t>- 49 -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_Toc2537 </w:instrText>
      </w:r>
      <w:r>
        <w:rPr>
          <w:rFonts w:hint="eastAsia"/>
          <w:sz w:val="21"/>
          <w:szCs w:val="24"/>
        </w:rPr>
        <w:fldChar w:fldCharType="separate"/>
      </w:r>
      <w:r>
        <w:rPr>
          <w:rFonts w:hint="eastAsia" w:eastAsia="Times New Roman"/>
          <w:sz w:val="21"/>
          <w:szCs w:val="24"/>
        </w:rPr>
        <w:t xml:space="preserve">3.10 </w:t>
      </w:r>
      <w:r>
        <w:rPr>
          <w:rFonts w:hint="eastAsia"/>
          <w:sz w:val="21"/>
          <w:szCs w:val="24"/>
        </w:rPr>
        <w:t>舆情监测与信息发布</w:t>
      </w:r>
      <w:r>
        <w:rPr>
          <w:rFonts w:hint="eastAsia"/>
          <w:sz w:val="21"/>
          <w:szCs w:val="24"/>
        </w:rPr>
        <w:tab/>
      </w:r>
      <w:r>
        <w:rPr>
          <w:rFonts w:hint="eastAsia"/>
          <w:sz w:val="21"/>
          <w:szCs w:val="24"/>
        </w:rPr>
        <w:fldChar w:fldCharType="begin"/>
      </w:r>
      <w:r>
        <w:rPr>
          <w:rFonts w:hint="eastAsia"/>
          <w:sz w:val="21"/>
          <w:szCs w:val="24"/>
        </w:rPr>
        <w:instrText xml:space="preserve"> PAGEREF _Toc2537 </w:instrText>
      </w:r>
      <w:r>
        <w:rPr>
          <w:rFonts w:hint="eastAsia"/>
          <w:sz w:val="21"/>
          <w:szCs w:val="24"/>
        </w:rPr>
        <w:fldChar w:fldCharType="separate"/>
      </w:r>
      <w:r>
        <w:rPr>
          <w:rFonts w:hint="eastAsia"/>
          <w:sz w:val="21"/>
          <w:szCs w:val="24"/>
        </w:rPr>
        <w:t>- 50 -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_Toc3776 </w:instrText>
      </w:r>
      <w:r>
        <w:rPr>
          <w:rFonts w:hint="eastAsia"/>
          <w:sz w:val="21"/>
          <w:szCs w:val="24"/>
        </w:rPr>
        <w:fldChar w:fldCharType="separate"/>
      </w:r>
      <w:r>
        <w:rPr>
          <w:rFonts w:hint="eastAsia" w:eastAsia="Times New Roman"/>
          <w:sz w:val="21"/>
          <w:szCs w:val="24"/>
        </w:rPr>
        <w:t xml:space="preserve">3.10.1 </w:t>
      </w:r>
      <w:r>
        <w:rPr>
          <w:rFonts w:hint="eastAsia"/>
          <w:sz w:val="21"/>
          <w:szCs w:val="24"/>
        </w:rPr>
        <w:t>舆情监测</w:t>
      </w:r>
      <w:r>
        <w:rPr>
          <w:rFonts w:hint="eastAsia"/>
          <w:sz w:val="21"/>
          <w:szCs w:val="24"/>
        </w:rPr>
        <w:tab/>
      </w:r>
      <w:r>
        <w:rPr>
          <w:rFonts w:hint="eastAsia"/>
          <w:sz w:val="21"/>
          <w:szCs w:val="24"/>
        </w:rPr>
        <w:fldChar w:fldCharType="begin"/>
      </w:r>
      <w:r>
        <w:rPr>
          <w:rFonts w:hint="eastAsia"/>
          <w:sz w:val="21"/>
          <w:szCs w:val="24"/>
        </w:rPr>
        <w:instrText xml:space="preserve"> PAGEREF _Toc3776 </w:instrText>
      </w:r>
      <w:r>
        <w:rPr>
          <w:rFonts w:hint="eastAsia"/>
          <w:sz w:val="21"/>
          <w:szCs w:val="24"/>
        </w:rPr>
        <w:fldChar w:fldCharType="separate"/>
      </w:r>
      <w:r>
        <w:rPr>
          <w:rFonts w:hint="eastAsia"/>
          <w:sz w:val="21"/>
          <w:szCs w:val="24"/>
        </w:rPr>
        <w:t>- 50 -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_Toc1032 </w:instrText>
      </w:r>
      <w:r>
        <w:rPr>
          <w:rFonts w:hint="eastAsia"/>
          <w:sz w:val="21"/>
          <w:szCs w:val="24"/>
        </w:rPr>
        <w:fldChar w:fldCharType="separate"/>
      </w:r>
      <w:r>
        <w:rPr>
          <w:rFonts w:hint="eastAsia" w:eastAsia="Times New Roman"/>
          <w:sz w:val="21"/>
          <w:szCs w:val="24"/>
        </w:rPr>
        <w:t xml:space="preserve">3.10.2 </w:t>
      </w:r>
      <w:r>
        <w:rPr>
          <w:rFonts w:hint="eastAsia"/>
          <w:sz w:val="21"/>
          <w:szCs w:val="24"/>
        </w:rPr>
        <w:t>信息发布</w:t>
      </w:r>
      <w:r>
        <w:rPr>
          <w:rFonts w:hint="eastAsia"/>
          <w:sz w:val="21"/>
          <w:szCs w:val="24"/>
        </w:rPr>
        <w:tab/>
      </w:r>
      <w:r>
        <w:rPr>
          <w:rFonts w:hint="eastAsia"/>
          <w:sz w:val="21"/>
          <w:szCs w:val="24"/>
        </w:rPr>
        <w:fldChar w:fldCharType="begin"/>
      </w:r>
      <w:r>
        <w:rPr>
          <w:rFonts w:hint="eastAsia"/>
          <w:sz w:val="21"/>
          <w:szCs w:val="24"/>
        </w:rPr>
        <w:instrText xml:space="preserve"> PAGEREF _Toc1032 </w:instrText>
      </w:r>
      <w:r>
        <w:rPr>
          <w:rFonts w:hint="eastAsia"/>
          <w:sz w:val="21"/>
          <w:szCs w:val="24"/>
        </w:rPr>
        <w:fldChar w:fldCharType="separate"/>
      </w:r>
      <w:r>
        <w:rPr>
          <w:rFonts w:hint="eastAsia"/>
          <w:sz w:val="21"/>
          <w:szCs w:val="24"/>
        </w:rPr>
        <w:t>- 51 -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_Toc26680 </w:instrText>
      </w:r>
      <w:r>
        <w:rPr>
          <w:rFonts w:hint="eastAsia"/>
          <w:sz w:val="21"/>
          <w:szCs w:val="24"/>
        </w:rPr>
        <w:fldChar w:fldCharType="separate"/>
      </w:r>
      <w:r>
        <w:rPr>
          <w:rFonts w:hint="eastAsia" w:eastAsia="Times New Roman"/>
          <w:sz w:val="21"/>
          <w:szCs w:val="24"/>
        </w:rPr>
        <w:t xml:space="preserve">3.11 </w:t>
      </w:r>
      <w:r>
        <w:rPr>
          <w:rFonts w:hint="eastAsia"/>
          <w:sz w:val="21"/>
          <w:szCs w:val="24"/>
        </w:rPr>
        <w:t>响应终止</w:t>
      </w:r>
      <w:r>
        <w:rPr>
          <w:rFonts w:hint="eastAsia"/>
          <w:sz w:val="21"/>
          <w:szCs w:val="24"/>
        </w:rPr>
        <w:tab/>
      </w:r>
      <w:r>
        <w:rPr>
          <w:rFonts w:hint="eastAsia"/>
          <w:sz w:val="21"/>
          <w:szCs w:val="24"/>
        </w:rPr>
        <w:fldChar w:fldCharType="begin"/>
      </w:r>
      <w:r>
        <w:rPr>
          <w:rFonts w:hint="eastAsia"/>
          <w:sz w:val="21"/>
          <w:szCs w:val="24"/>
        </w:rPr>
        <w:instrText xml:space="preserve"> PAGEREF _Toc26680 </w:instrText>
      </w:r>
      <w:r>
        <w:rPr>
          <w:rFonts w:hint="eastAsia"/>
          <w:sz w:val="21"/>
          <w:szCs w:val="24"/>
        </w:rPr>
        <w:fldChar w:fldCharType="separate"/>
      </w:r>
      <w:r>
        <w:rPr>
          <w:rFonts w:hint="eastAsia"/>
          <w:sz w:val="21"/>
          <w:szCs w:val="24"/>
        </w:rPr>
        <w:t>- 52 -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_Toc16702 </w:instrText>
      </w:r>
      <w:r>
        <w:rPr>
          <w:rFonts w:hint="eastAsia"/>
          <w:sz w:val="21"/>
          <w:szCs w:val="24"/>
        </w:rPr>
        <w:fldChar w:fldCharType="separate"/>
      </w:r>
      <w:r>
        <w:rPr>
          <w:rFonts w:hint="eastAsia" w:eastAsia="Times New Roman"/>
          <w:sz w:val="21"/>
          <w:szCs w:val="24"/>
        </w:rPr>
        <w:t xml:space="preserve">3.11.1 </w:t>
      </w:r>
      <w:r>
        <w:rPr>
          <w:rFonts w:hint="eastAsia"/>
          <w:sz w:val="21"/>
          <w:szCs w:val="24"/>
        </w:rPr>
        <w:t>应急响应终止条件</w:t>
      </w:r>
      <w:r>
        <w:rPr>
          <w:rFonts w:hint="eastAsia"/>
          <w:sz w:val="21"/>
          <w:szCs w:val="24"/>
        </w:rPr>
        <w:tab/>
      </w:r>
      <w:r>
        <w:rPr>
          <w:rFonts w:hint="eastAsia"/>
          <w:sz w:val="21"/>
          <w:szCs w:val="24"/>
        </w:rPr>
        <w:fldChar w:fldCharType="begin"/>
      </w:r>
      <w:r>
        <w:rPr>
          <w:rFonts w:hint="eastAsia"/>
          <w:sz w:val="21"/>
          <w:szCs w:val="24"/>
        </w:rPr>
        <w:instrText xml:space="preserve"> PAGEREF _Toc16702 </w:instrText>
      </w:r>
      <w:r>
        <w:rPr>
          <w:rFonts w:hint="eastAsia"/>
          <w:sz w:val="21"/>
          <w:szCs w:val="24"/>
        </w:rPr>
        <w:fldChar w:fldCharType="separate"/>
      </w:r>
      <w:r>
        <w:rPr>
          <w:rFonts w:hint="eastAsia"/>
          <w:sz w:val="21"/>
          <w:szCs w:val="24"/>
        </w:rPr>
        <w:t>- 52 -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_Toc28763 </w:instrText>
      </w:r>
      <w:r>
        <w:rPr>
          <w:rFonts w:hint="eastAsia"/>
          <w:sz w:val="21"/>
          <w:szCs w:val="24"/>
        </w:rPr>
        <w:fldChar w:fldCharType="separate"/>
      </w:r>
      <w:r>
        <w:rPr>
          <w:rFonts w:hint="eastAsia" w:eastAsia="Times New Roman"/>
          <w:sz w:val="21"/>
          <w:szCs w:val="24"/>
        </w:rPr>
        <w:t xml:space="preserve">3.11.2 </w:t>
      </w:r>
      <w:r>
        <w:rPr>
          <w:rFonts w:hint="eastAsia"/>
          <w:sz w:val="21"/>
          <w:szCs w:val="24"/>
        </w:rPr>
        <w:t>应急响应终止程序</w:t>
      </w:r>
      <w:r>
        <w:rPr>
          <w:rFonts w:hint="eastAsia"/>
          <w:sz w:val="21"/>
          <w:szCs w:val="24"/>
        </w:rPr>
        <w:tab/>
      </w:r>
      <w:r>
        <w:rPr>
          <w:rFonts w:hint="eastAsia"/>
          <w:sz w:val="21"/>
          <w:szCs w:val="24"/>
        </w:rPr>
        <w:fldChar w:fldCharType="begin"/>
      </w:r>
      <w:r>
        <w:rPr>
          <w:rFonts w:hint="eastAsia"/>
          <w:sz w:val="21"/>
          <w:szCs w:val="24"/>
        </w:rPr>
        <w:instrText xml:space="preserve"> PAGEREF _Toc28763 </w:instrText>
      </w:r>
      <w:r>
        <w:rPr>
          <w:rFonts w:hint="eastAsia"/>
          <w:sz w:val="21"/>
          <w:szCs w:val="24"/>
        </w:rPr>
        <w:fldChar w:fldCharType="separate"/>
      </w:r>
      <w:r>
        <w:rPr>
          <w:rFonts w:hint="eastAsia"/>
          <w:sz w:val="21"/>
          <w:szCs w:val="24"/>
        </w:rPr>
        <w:t>- 53 -</w:t>
      </w:r>
      <w:r>
        <w:rPr>
          <w:rFonts w:hint="eastAsia"/>
          <w:sz w:val="21"/>
          <w:szCs w:val="24"/>
        </w:rPr>
        <w:fldChar w:fldCharType="end"/>
      </w:r>
      <w:r>
        <w:rPr>
          <w:rFonts w:hint="eastAsia"/>
          <w:sz w:val="21"/>
          <w:szCs w:val="24"/>
        </w:rPr>
        <w:fldChar w:fldCharType="end"/>
      </w:r>
    </w:p>
    <w:p>
      <w:pPr>
        <w:pStyle w:val="21"/>
        <w:tabs>
          <w:tab w:val="right" w:leader="dot" w:pos="8306"/>
        </w:tabs>
        <w:spacing w:beforeLines="0" w:afterLines="0"/>
        <w:rPr>
          <w:rFonts w:hint="eastAsia"/>
          <w:sz w:val="28"/>
          <w:szCs w:val="24"/>
        </w:rPr>
      </w:pPr>
      <w:r>
        <w:rPr>
          <w:rFonts w:hint="eastAsia"/>
          <w:sz w:val="28"/>
          <w:szCs w:val="24"/>
        </w:rPr>
        <w:fldChar w:fldCharType="begin"/>
      </w:r>
      <w:r>
        <w:rPr>
          <w:rFonts w:hint="eastAsia"/>
          <w:sz w:val="28"/>
          <w:szCs w:val="24"/>
        </w:rPr>
        <w:instrText xml:space="preserve"> HYPERLINK \l _Toc5034 </w:instrText>
      </w:r>
      <w:r>
        <w:rPr>
          <w:rFonts w:hint="eastAsia"/>
          <w:sz w:val="28"/>
          <w:szCs w:val="24"/>
        </w:rPr>
        <w:fldChar w:fldCharType="separate"/>
      </w:r>
      <w:r>
        <w:rPr>
          <w:rFonts w:hint="eastAsia" w:eastAsia="Times New Roman"/>
          <w:sz w:val="28"/>
          <w:szCs w:val="24"/>
        </w:rPr>
        <w:t xml:space="preserve">4 </w:t>
      </w:r>
      <w:r>
        <w:rPr>
          <w:rFonts w:hint="eastAsia"/>
          <w:sz w:val="28"/>
          <w:szCs w:val="24"/>
        </w:rPr>
        <w:t>后期工作</w:t>
      </w:r>
      <w:r>
        <w:rPr>
          <w:rFonts w:hint="eastAsia"/>
          <w:sz w:val="28"/>
          <w:szCs w:val="24"/>
        </w:rPr>
        <w:tab/>
      </w:r>
      <w:r>
        <w:rPr>
          <w:rFonts w:hint="eastAsia"/>
          <w:sz w:val="28"/>
          <w:szCs w:val="24"/>
        </w:rPr>
        <w:fldChar w:fldCharType="begin"/>
      </w:r>
      <w:r>
        <w:rPr>
          <w:rFonts w:hint="eastAsia"/>
          <w:sz w:val="28"/>
          <w:szCs w:val="24"/>
        </w:rPr>
        <w:instrText xml:space="preserve"> PAGEREF _Toc5034 </w:instrText>
      </w:r>
      <w:r>
        <w:rPr>
          <w:rFonts w:hint="eastAsia"/>
          <w:sz w:val="28"/>
          <w:szCs w:val="24"/>
        </w:rPr>
        <w:fldChar w:fldCharType="separate"/>
      </w:r>
      <w:r>
        <w:rPr>
          <w:rFonts w:hint="eastAsia"/>
          <w:sz w:val="28"/>
          <w:szCs w:val="24"/>
        </w:rPr>
        <w:t>- 54 -</w:t>
      </w:r>
      <w:r>
        <w:rPr>
          <w:rFonts w:hint="eastAsia"/>
          <w:sz w:val="28"/>
          <w:szCs w:val="24"/>
        </w:rPr>
        <w:fldChar w:fldCharType="end"/>
      </w:r>
      <w:r>
        <w:rPr>
          <w:rFonts w:hint="eastAsia"/>
          <w:sz w:val="28"/>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_Toc14906 </w:instrText>
      </w:r>
      <w:r>
        <w:rPr>
          <w:rFonts w:hint="eastAsia"/>
          <w:sz w:val="21"/>
          <w:szCs w:val="24"/>
        </w:rPr>
        <w:fldChar w:fldCharType="separate"/>
      </w:r>
      <w:r>
        <w:rPr>
          <w:rFonts w:hint="eastAsia" w:eastAsia="Times New Roman"/>
          <w:sz w:val="21"/>
          <w:szCs w:val="24"/>
        </w:rPr>
        <w:t xml:space="preserve">4.1 </w:t>
      </w:r>
      <w:r>
        <w:rPr>
          <w:rFonts w:hint="eastAsia"/>
          <w:sz w:val="21"/>
          <w:szCs w:val="24"/>
        </w:rPr>
        <w:t>后期防控</w:t>
      </w:r>
      <w:r>
        <w:rPr>
          <w:rFonts w:hint="eastAsia"/>
          <w:sz w:val="21"/>
          <w:szCs w:val="24"/>
        </w:rPr>
        <w:tab/>
      </w:r>
      <w:r>
        <w:rPr>
          <w:rFonts w:hint="eastAsia"/>
          <w:sz w:val="21"/>
          <w:szCs w:val="24"/>
        </w:rPr>
        <w:fldChar w:fldCharType="begin"/>
      </w:r>
      <w:r>
        <w:rPr>
          <w:rFonts w:hint="eastAsia"/>
          <w:sz w:val="21"/>
          <w:szCs w:val="24"/>
        </w:rPr>
        <w:instrText xml:space="preserve"> PAGEREF _Toc14906 </w:instrText>
      </w:r>
      <w:r>
        <w:rPr>
          <w:rFonts w:hint="eastAsia"/>
          <w:sz w:val="21"/>
          <w:szCs w:val="24"/>
        </w:rPr>
        <w:fldChar w:fldCharType="separate"/>
      </w:r>
      <w:r>
        <w:rPr>
          <w:rFonts w:hint="eastAsia"/>
          <w:sz w:val="21"/>
          <w:szCs w:val="24"/>
        </w:rPr>
        <w:t>- 54 -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_Toc28094 </w:instrText>
      </w:r>
      <w:r>
        <w:rPr>
          <w:rFonts w:hint="eastAsia"/>
          <w:sz w:val="21"/>
          <w:szCs w:val="24"/>
        </w:rPr>
        <w:fldChar w:fldCharType="separate"/>
      </w:r>
      <w:r>
        <w:rPr>
          <w:rFonts w:hint="eastAsia" w:eastAsia="Times New Roman"/>
          <w:sz w:val="21"/>
          <w:szCs w:val="24"/>
        </w:rPr>
        <w:t xml:space="preserve">4.2 </w:t>
      </w:r>
      <w:r>
        <w:rPr>
          <w:rFonts w:hint="eastAsia"/>
          <w:sz w:val="21"/>
          <w:szCs w:val="24"/>
        </w:rPr>
        <w:t>事件调查</w:t>
      </w:r>
      <w:r>
        <w:rPr>
          <w:rFonts w:hint="eastAsia"/>
          <w:sz w:val="21"/>
          <w:szCs w:val="24"/>
        </w:rPr>
        <w:tab/>
      </w:r>
      <w:r>
        <w:rPr>
          <w:rFonts w:hint="eastAsia"/>
          <w:sz w:val="21"/>
          <w:szCs w:val="24"/>
        </w:rPr>
        <w:fldChar w:fldCharType="begin"/>
      </w:r>
      <w:r>
        <w:rPr>
          <w:rFonts w:hint="eastAsia"/>
          <w:sz w:val="21"/>
          <w:szCs w:val="24"/>
        </w:rPr>
        <w:instrText xml:space="preserve"> PAGEREF _Toc28094 </w:instrText>
      </w:r>
      <w:r>
        <w:rPr>
          <w:rFonts w:hint="eastAsia"/>
          <w:sz w:val="21"/>
          <w:szCs w:val="24"/>
        </w:rPr>
        <w:fldChar w:fldCharType="separate"/>
      </w:r>
      <w:r>
        <w:rPr>
          <w:rFonts w:hint="eastAsia"/>
          <w:sz w:val="21"/>
          <w:szCs w:val="24"/>
        </w:rPr>
        <w:t>- 54 -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_Toc4997 </w:instrText>
      </w:r>
      <w:r>
        <w:rPr>
          <w:rFonts w:hint="eastAsia"/>
          <w:sz w:val="21"/>
          <w:szCs w:val="24"/>
        </w:rPr>
        <w:fldChar w:fldCharType="separate"/>
      </w:r>
      <w:r>
        <w:rPr>
          <w:rFonts w:hint="eastAsia" w:eastAsia="Times New Roman"/>
          <w:sz w:val="21"/>
          <w:szCs w:val="24"/>
        </w:rPr>
        <w:t xml:space="preserve">4.3 </w:t>
      </w:r>
      <w:r>
        <w:rPr>
          <w:rFonts w:hint="eastAsia"/>
          <w:sz w:val="21"/>
          <w:szCs w:val="24"/>
        </w:rPr>
        <w:t>损害评估</w:t>
      </w:r>
      <w:r>
        <w:rPr>
          <w:rFonts w:hint="eastAsia"/>
          <w:sz w:val="21"/>
          <w:szCs w:val="24"/>
        </w:rPr>
        <w:tab/>
      </w:r>
      <w:r>
        <w:rPr>
          <w:rFonts w:hint="eastAsia"/>
          <w:sz w:val="21"/>
          <w:szCs w:val="24"/>
        </w:rPr>
        <w:fldChar w:fldCharType="begin"/>
      </w:r>
      <w:r>
        <w:rPr>
          <w:rFonts w:hint="eastAsia"/>
          <w:sz w:val="21"/>
          <w:szCs w:val="24"/>
        </w:rPr>
        <w:instrText xml:space="preserve"> PAGEREF _Toc4997 </w:instrText>
      </w:r>
      <w:r>
        <w:rPr>
          <w:rFonts w:hint="eastAsia"/>
          <w:sz w:val="21"/>
          <w:szCs w:val="24"/>
        </w:rPr>
        <w:fldChar w:fldCharType="separate"/>
      </w:r>
      <w:r>
        <w:rPr>
          <w:rFonts w:hint="eastAsia"/>
          <w:sz w:val="21"/>
          <w:szCs w:val="24"/>
        </w:rPr>
        <w:t>- 55 -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_Toc32618 </w:instrText>
      </w:r>
      <w:r>
        <w:rPr>
          <w:rFonts w:hint="eastAsia"/>
          <w:sz w:val="21"/>
          <w:szCs w:val="24"/>
        </w:rPr>
        <w:fldChar w:fldCharType="separate"/>
      </w:r>
      <w:r>
        <w:rPr>
          <w:rFonts w:hint="eastAsia" w:eastAsia="Times New Roman"/>
          <w:sz w:val="21"/>
          <w:szCs w:val="24"/>
        </w:rPr>
        <w:t xml:space="preserve">4.4 </w:t>
      </w:r>
      <w:r>
        <w:rPr>
          <w:rFonts w:hint="eastAsia"/>
          <w:sz w:val="21"/>
          <w:szCs w:val="24"/>
        </w:rPr>
        <w:t>善后处置</w:t>
      </w:r>
      <w:r>
        <w:rPr>
          <w:rFonts w:hint="eastAsia"/>
          <w:sz w:val="21"/>
          <w:szCs w:val="24"/>
        </w:rPr>
        <w:tab/>
      </w:r>
      <w:r>
        <w:rPr>
          <w:rFonts w:hint="eastAsia"/>
          <w:sz w:val="21"/>
          <w:szCs w:val="24"/>
        </w:rPr>
        <w:fldChar w:fldCharType="begin"/>
      </w:r>
      <w:r>
        <w:rPr>
          <w:rFonts w:hint="eastAsia"/>
          <w:sz w:val="21"/>
          <w:szCs w:val="24"/>
        </w:rPr>
        <w:instrText xml:space="preserve"> PAGEREF _Toc32618 </w:instrText>
      </w:r>
      <w:r>
        <w:rPr>
          <w:rFonts w:hint="eastAsia"/>
          <w:sz w:val="21"/>
          <w:szCs w:val="24"/>
        </w:rPr>
        <w:fldChar w:fldCharType="separate"/>
      </w:r>
      <w:r>
        <w:rPr>
          <w:rFonts w:hint="eastAsia"/>
          <w:sz w:val="21"/>
          <w:szCs w:val="24"/>
        </w:rPr>
        <w:t>- 56 -</w:t>
      </w:r>
      <w:r>
        <w:rPr>
          <w:rFonts w:hint="eastAsia"/>
          <w:sz w:val="21"/>
          <w:szCs w:val="24"/>
        </w:rPr>
        <w:fldChar w:fldCharType="end"/>
      </w:r>
      <w:r>
        <w:rPr>
          <w:rFonts w:hint="eastAsia"/>
          <w:sz w:val="21"/>
          <w:szCs w:val="24"/>
        </w:rPr>
        <w:fldChar w:fldCharType="end"/>
      </w:r>
    </w:p>
    <w:p>
      <w:pPr>
        <w:pStyle w:val="21"/>
        <w:tabs>
          <w:tab w:val="right" w:leader="dot" w:pos="8306"/>
        </w:tabs>
        <w:spacing w:beforeLines="0" w:afterLines="0"/>
        <w:rPr>
          <w:rFonts w:hint="eastAsia"/>
          <w:sz w:val="28"/>
          <w:szCs w:val="24"/>
        </w:rPr>
      </w:pPr>
      <w:r>
        <w:rPr>
          <w:rFonts w:hint="eastAsia"/>
          <w:sz w:val="28"/>
          <w:szCs w:val="24"/>
        </w:rPr>
        <w:fldChar w:fldCharType="begin"/>
      </w:r>
      <w:r>
        <w:rPr>
          <w:rFonts w:hint="eastAsia"/>
          <w:sz w:val="28"/>
          <w:szCs w:val="24"/>
        </w:rPr>
        <w:instrText xml:space="preserve"> HYPERLINK \l _Toc2429 </w:instrText>
      </w:r>
      <w:r>
        <w:rPr>
          <w:rFonts w:hint="eastAsia"/>
          <w:sz w:val="28"/>
          <w:szCs w:val="24"/>
        </w:rPr>
        <w:fldChar w:fldCharType="separate"/>
      </w:r>
      <w:r>
        <w:rPr>
          <w:rFonts w:hint="eastAsia" w:eastAsia="Times New Roman"/>
          <w:sz w:val="28"/>
          <w:szCs w:val="24"/>
        </w:rPr>
        <w:t xml:space="preserve">5 </w:t>
      </w:r>
      <w:r>
        <w:rPr>
          <w:rFonts w:hint="eastAsia"/>
          <w:sz w:val="28"/>
          <w:szCs w:val="24"/>
        </w:rPr>
        <w:t>应急保障</w:t>
      </w:r>
      <w:r>
        <w:rPr>
          <w:rFonts w:hint="eastAsia"/>
          <w:sz w:val="28"/>
          <w:szCs w:val="24"/>
        </w:rPr>
        <w:tab/>
      </w:r>
      <w:r>
        <w:rPr>
          <w:rFonts w:hint="eastAsia"/>
          <w:sz w:val="28"/>
          <w:szCs w:val="24"/>
        </w:rPr>
        <w:fldChar w:fldCharType="begin"/>
      </w:r>
      <w:r>
        <w:rPr>
          <w:rFonts w:hint="eastAsia"/>
          <w:sz w:val="28"/>
          <w:szCs w:val="24"/>
        </w:rPr>
        <w:instrText xml:space="preserve"> PAGEREF _Toc2429 </w:instrText>
      </w:r>
      <w:r>
        <w:rPr>
          <w:rFonts w:hint="eastAsia"/>
          <w:sz w:val="28"/>
          <w:szCs w:val="24"/>
        </w:rPr>
        <w:fldChar w:fldCharType="separate"/>
      </w:r>
      <w:r>
        <w:rPr>
          <w:rFonts w:hint="eastAsia"/>
          <w:sz w:val="28"/>
          <w:szCs w:val="24"/>
        </w:rPr>
        <w:t>- 57 -</w:t>
      </w:r>
      <w:r>
        <w:rPr>
          <w:rFonts w:hint="eastAsia"/>
          <w:sz w:val="28"/>
          <w:szCs w:val="24"/>
        </w:rPr>
        <w:fldChar w:fldCharType="end"/>
      </w:r>
      <w:r>
        <w:rPr>
          <w:rFonts w:hint="eastAsia"/>
          <w:sz w:val="28"/>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_Toc4530 </w:instrText>
      </w:r>
      <w:r>
        <w:rPr>
          <w:rFonts w:hint="eastAsia"/>
          <w:sz w:val="21"/>
          <w:szCs w:val="24"/>
        </w:rPr>
        <w:fldChar w:fldCharType="separate"/>
      </w:r>
      <w:r>
        <w:rPr>
          <w:rFonts w:hint="eastAsia" w:eastAsia="Times New Roman"/>
          <w:sz w:val="21"/>
          <w:szCs w:val="24"/>
        </w:rPr>
        <w:t xml:space="preserve">5.1 </w:t>
      </w:r>
      <w:r>
        <w:rPr>
          <w:rFonts w:hint="eastAsia"/>
          <w:sz w:val="21"/>
          <w:szCs w:val="24"/>
        </w:rPr>
        <w:t>通讯与信息保障</w:t>
      </w:r>
      <w:r>
        <w:rPr>
          <w:rFonts w:hint="eastAsia"/>
          <w:sz w:val="21"/>
          <w:szCs w:val="24"/>
        </w:rPr>
        <w:tab/>
      </w:r>
      <w:r>
        <w:rPr>
          <w:rFonts w:hint="eastAsia"/>
          <w:sz w:val="21"/>
          <w:szCs w:val="24"/>
        </w:rPr>
        <w:fldChar w:fldCharType="begin"/>
      </w:r>
      <w:r>
        <w:rPr>
          <w:rFonts w:hint="eastAsia"/>
          <w:sz w:val="21"/>
          <w:szCs w:val="24"/>
        </w:rPr>
        <w:instrText xml:space="preserve"> PAGEREF _Toc4530 </w:instrText>
      </w:r>
      <w:r>
        <w:rPr>
          <w:rFonts w:hint="eastAsia"/>
          <w:sz w:val="21"/>
          <w:szCs w:val="24"/>
        </w:rPr>
        <w:fldChar w:fldCharType="separate"/>
      </w:r>
      <w:r>
        <w:rPr>
          <w:rFonts w:hint="eastAsia"/>
          <w:sz w:val="21"/>
          <w:szCs w:val="24"/>
        </w:rPr>
        <w:t>- 57 -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_Toc5813 </w:instrText>
      </w:r>
      <w:r>
        <w:rPr>
          <w:rFonts w:hint="eastAsia"/>
          <w:sz w:val="21"/>
          <w:szCs w:val="24"/>
        </w:rPr>
        <w:fldChar w:fldCharType="separate"/>
      </w:r>
      <w:r>
        <w:rPr>
          <w:rFonts w:hint="eastAsia" w:eastAsia="Times New Roman"/>
          <w:sz w:val="21"/>
          <w:szCs w:val="24"/>
        </w:rPr>
        <w:t xml:space="preserve">5.2 </w:t>
      </w:r>
      <w:r>
        <w:rPr>
          <w:rFonts w:hint="eastAsia"/>
          <w:sz w:val="21"/>
          <w:szCs w:val="24"/>
        </w:rPr>
        <w:t>应急队伍保障</w:t>
      </w:r>
      <w:r>
        <w:rPr>
          <w:rFonts w:hint="eastAsia"/>
          <w:sz w:val="21"/>
          <w:szCs w:val="24"/>
        </w:rPr>
        <w:tab/>
      </w:r>
      <w:r>
        <w:rPr>
          <w:rFonts w:hint="eastAsia"/>
          <w:sz w:val="21"/>
          <w:szCs w:val="24"/>
        </w:rPr>
        <w:fldChar w:fldCharType="begin"/>
      </w:r>
      <w:r>
        <w:rPr>
          <w:rFonts w:hint="eastAsia"/>
          <w:sz w:val="21"/>
          <w:szCs w:val="24"/>
        </w:rPr>
        <w:instrText xml:space="preserve"> PAGEREF _Toc5813 </w:instrText>
      </w:r>
      <w:r>
        <w:rPr>
          <w:rFonts w:hint="eastAsia"/>
          <w:sz w:val="21"/>
          <w:szCs w:val="24"/>
        </w:rPr>
        <w:fldChar w:fldCharType="separate"/>
      </w:r>
      <w:r>
        <w:rPr>
          <w:rFonts w:hint="eastAsia"/>
          <w:sz w:val="21"/>
          <w:szCs w:val="24"/>
        </w:rPr>
        <w:t>- 57 -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_Toc15352 </w:instrText>
      </w:r>
      <w:r>
        <w:rPr>
          <w:rFonts w:hint="eastAsia"/>
          <w:sz w:val="21"/>
          <w:szCs w:val="24"/>
        </w:rPr>
        <w:fldChar w:fldCharType="separate"/>
      </w:r>
      <w:r>
        <w:rPr>
          <w:rFonts w:hint="eastAsia" w:eastAsia="Times New Roman"/>
          <w:sz w:val="21"/>
          <w:szCs w:val="24"/>
        </w:rPr>
        <w:t xml:space="preserve">5.3 </w:t>
      </w:r>
      <w:r>
        <w:rPr>
          <w:rFonts w:hint="eastAsia"/>
          <w:sz w:val="21"/>
          <w:szCs w:val="24"/>
        </w:rPr>
        <w:t>应急资源保障</w:t>
      </w:r>
      <w:r>
        <w:rPr>
          <w:rFonts w:hint="eastAsia"/>
          <w:sz w:val="21"/>
          <w:szCs w:val="24"/>
        </w:rPr>
        <w:tab/>
      </w:r>
      <w:r>
        <w:rPr>
          <w:rFonts w:hint="eastAsia"/>
          <w:sz w:val="21"/>
          <w:szCs w:val="24"/>
        </w:rPr>
        <w:fldChar w:fldCharType="begin"/>
      </w:r>
      <w:r>
        <w:rPr>
          <w:rFonts w:hint="eastAsia"/>
          <w:sz w:val="21"/>
          <w:szCs w:val="24"/>
        </w:rPr>
        <w:instrText xml:space="preserve"> PAGEREF _Toc15352 </w:instrText>
      </w:r>
      <w:r>
        <w:rPr>
          <w:rFonts w:hint="eastAsia"/>
          <w:sz w:val="21"/>
          <w:szCs w:val="24"/>
        </w:rPr>
        <w:fldChar w:fldCharType="separate"/>
      </w:r>
      <w:r>
        <w:rPr>
          <w:rFonts w:hint="eastAsia"/>
          <w:sz w:val="21"/>
          <w:szCs w:val="24"/>
        </w:rPr>
        <w:t>- 57 -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_Toc18363 </w:instrText>
      </w:r>
      <w:r>
        <w:rPr>
          <w:rFonts w:hint="eastAsia"/>
          <w:sz w:val="21"/>
          <w:szCs w:val="24"/>
        </w:rPr>
        <w:fldChar w:fldCharType="separate"/>
      </w:r>
      <w:r>
        <w:rPr>
          <w:rFonts w:hint="eastAsia" w:eastAsia="Times New Roman"/>
          <w:sz w:val="21"/>
          <w:szCs w:val="24"/>
        </w:rPr>
        <w:t xml:space="preserve">5.4 </w:t>
      </w:r>
      <w:r>
        <w:rPr>
          <w:rFonts w:hint="eastAsia"/>
          <w:sz w:val="21"/>
          <w:szCs w:val="24"/>
        </w:rPr>
        <w:t>经费保障</w:t>
      </w:r>
      <w:r>
        <w:rPr>
          <w:rFonts w:hint="eastAsia"/>
          <w:sz w:val="21"/>
          <w:szCs w:val="24"/>
        </w:rPr>
        <w:tab/>
      </w:r>
      <w:r>
        <w:rPr>
          <w:rFonts w:hint="eastAsia"/>
          <w:sz w:val="21"/>
          <w:szCs w:val="24"/>
        </w:rPr>
        <w:fldChar w:fldCharType="begin"/>
      </w:r>
      <w:r>
        <w:rPr>
          <w:rFonts w:hint="eastAsia"/>
          <w:sz w:val="21"/>
          <w:szCs w:val="24"/>
        </w:rPr>
        <w:instrText xml:space="preserve"> PAGEREF _Toc18363 </w:instrText>
      </w:r>
      <w:r>
        <w:rPr>
          <w:rFonts w:hint="eastAsia"/>
          <w:sz w:val="21"/>
          <w:szCs w:val="24"/>
        </w:rPr>
        <w:fldChar w:fldCharType="separate"/>
      </w:r>
      <w:r>
        <w:rPr>
          <w:rFonts w:hint="eastAsia"/>
          <w:sz w:val="21"/>
          <w:szCs w:val="24"/>
        </w:rPr>
        <w:t>- 58 -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_Toc22042 </w:instrText>
      </w:r>
      <w:r>
        <w:rPr>
          <w:rFonts w:hint="eastAsia"/>
          <w:sz w:val="21"/>
          <w:szCs w:val="24"/>
        </w:rPr>
        <w:fldChar w:fldCharType="separate"/>
      </w:r>
      <w:r>
        <w:rPr>
          <w:rFonts w:hint="eastAsia" w:eastAsia="Times New Roman"/>
          <w:sz w:val="21"/>
          <w:szCs w:val="24"/>
        </w:rPr>
        <w:t xml:space="preserve">5.5 </w:t>
      </w:r>
      <w:r>
        <w:rPr>
          <w:rFonts w:hint="eastAsia"/>
          <w:sz w:val="21"/>
          <w:szCs w:val="24"/>
        </w:rPr>
        <w:t>其他保障</w:t>
      </w:r>
      <w:r>
        <w:rPr>
          <w:rFonts w:hint="eastAsia"/>
          <w:sz w:val="21"/>
          <w:szCs w:val="24"/>
        </w:rPr>
        <w:tab/>
      </w:r>
      <w:r>
        <w:rPr>
          <w:rFonts w:hint="eastAsia"/>
          <w:sz w:val="21"/>
          <w:szCs w:val="24"/>
        </w:rPr>
        <w:fldChar w:fldCharType="begin"/>
      </w:r>
      <w:r>
        <w:rPr>
          <w:rFonts w:hint="eastAsia"/>
          <w:sz w:val="21"/>
          <w:szCs w:val="24"/>
        </w:rPr>
        <w:instrText xml:space="preserve"> PAGEREF _Toc22042 </w:instrText>
      </w:r>
      <w:r>
        <w:rPr>
          <w:rFonts w:hint="eastAsia"/>
          <w:sz w:val="21"/>
          <w:szCs w:val="24"/>
        </w:rPr>
        <w:fldChar w:fldCharType="separate"/>
      </w:r>
      <w:r>
        <w:rPr>
          <w:rFonts w:hint="eastAsia"/>
          <w:sz w:val="21"/>
          <w:szCs w:val="24"/>
        </w:rPr>
        <w:t>- 58 -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_Toc2513 </w:instrText>
      </w:r>
      <w:r>
        <w:rPr>
          <w:rFonts w:hint="eastAsia"/>
          <w:sz w:val="21"/>
          <w:szCs w:val="24"/>
        </w:rPr>
        <w:fldChar w:fldCharType="separate"/>
      </w:r>
      <w:r>
        <w:rPr>
          <w:rFonts w:hint="eastAsia" w:eastAsia="Times New Roman"/>
          <w:sz w:val="21"/>
          <w:szCs w:val="24"/>
        </w:rPr>
        <w:t xml:space="preserve">5.5.1 </w:t>
      </w:r>
      <w:r>
        <w:rPr>
          <w:rFonts w:hint="eastAsia"/>
          <w:sz w:val="21"/>
          <w:szCs w:val="24"/>
        </w:rPr>
        <w:t>技术保障</w:t>
      </w:r>
      <w:r>
        <w:rPr>
          <w:rFonts w:hint="eastAsia"/>
          <w:sz w:val="21"/>
          <w:szCs w:val="24"/>
        </w:rPr>
        <w:tab/>
      </w:r>
      <w:r>
        <w:rPr>
          <w:rFonts w:hint="eastAsia"/>
          <w:sz w:val="21"/>
          <w:szCs w:val="24"/>
        </w:rPr>
        <w:fldChar w:fldCharType="begin"/>
      </w:r>
      <w:r>
        <w:rPr>
          <w:rFonts w:hint="eastAsia"/>
          <w:sz w:val="21"/>
          <w:szCs w:val="24"/>
        </w:rPr>
        <w:instrText xml:space="preserve"> PAGEREF _Toc2513 </w:instrText>
      </w:r>
      <w:r>
        <w:rPr>
          <w:rFonts w:hint="eastAsia"/>
          <w:sz w:val="21"/>
          <w:szCs w:val="24"/>
        </w:rPr>
        <w:fldChar w:fldCharType="separate"/>
      </w:r>
      <w:r>
        <w:rPr>
          <w:rFonts w:hint="eastAsia"/>
          <w:sz w:val="21"/>
          <w:szCs w:val="24"/>
        </w:rPr>
        <w:t>- 58 -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_Toc29782 </w:instrText>
      </w:r>
      <w:r>
        <w:rPr>
          <w:rFonts w:hint="eastAsia"/>
          <w:sz w:val="21"/>
          <w:szCs w:val="24"/>
        </w:rPr>
        <w:fldChar w:fldCharType="separate"/>
      </w:r>
      <w:r>
        <w:rPr>
          <w:rFonts w:hint="eastAsia" w:eastAsia="Times New Roman"/>
          <w:sz w:val="21"/>
          <w:szCs w:val="24"/>
        </w:rPr>
        <w:t xml:space="preserve">5.5.2 </w:t>
      </w:r>
      <w:r>
        <w:rPr>
          <w:rFonts w:hint="eastAsia"/>
          <w:sz w:val="21"/>
          <w:szCs w:val="24"/>
        </w:rPr>
        <w:t>物资运输保障</w:t>
      </w:r>
      <w:r>
        <w:rPr>
          <w:rFonts w:hint="eastAsia"/>
          <w:sz w:val="21"/>
          <w:szCs w:val="24"/>
        </w:rPr>
        <w:tab/>
      </w:r>
      <w:r>
        <w:rPr>
          <w:rFonts w:hint="eastAsia"/>
          <w:sz w:val="21"/>
          <w:szCs w:val="24"/>
        </w:rPr>
        <w:fldChar w:fldCharType="begin"/>
      </w:r>
      <w:r>
        <w:rPr>
          <w:rFonts w:hint="eastAsia"/>
          <w:sz w:val="21"/>
          <w:szCs w:val="24"/>
        </w:rPr>
        <w:instrText xml:space="preserve"> PAGEREF _Toc29782 </w:instrText>
      </w:r>
      <w:r>
        <w:rPr>
          <w:rFonts w:hint="eastAsia"/>
          <w:sz w:val="21"/>
          <w:szCs w:val="24"/>
        </w:rPr>
        <w:fldChar w:fldCharType="separate"/>
      </w:r>
      <w:r>
        <w:rPr>
          <w:rFonts w:hint="eastAsia"/>
          <w:sz w:val="21"/>
          <w:szCs w:val="24"/>
        </w:rPr>
        <w:t>- 59 -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_Toc12670 </w:instrText>
      </w:r>
      <w:r>
        <w:rPr>
          <w:rFonts w:hint="eastAsia"/>
          <w:sz w:val="21"/>
          <w:szCs w:val="24"/>
        </w:rPr>
        <w:fldChar w:fldCharType="separate"/>
      </w:r>
      <w:r>
        <w:rPr>
          <w:rFonts w:hint="eastAsia" w:eastAsia="Times New Roman"/>
          <w:sz w:val="21"/>
          <w:szCs w:val="24"/>
        </w:rPr>
        <w:t xml:space="preserve">5.5.3 </w:t>
      </w:r>
      <w:r>
        <w:rPr>
          <w:rFonts w:hint="eastAsia"/>
          <w:sz w:val="21"/>
          <w:szCs w:val="24"/>
        </w:rPr>
        <w:t>医疗卫生救助保障</w:t>
      </w:r>
      <w:r>
        <w:rPr>
          <w:rFonts w:hint="eastAsia"/>
          <w:sz w:val="21"/>
          <w:szCs w:val="24"/>
        </w:rPr>
        <w:tab/>
      </w:r>
      <w:r>
        <w:rPr>
          <w:rFonts w:hint="eastAsia"/>
          <w:sz w:val="21"/>
          <w:szCs w:val="24"/>
        </w:rPr>
        <w:fldChar w:fldCharType="begin"/>
      </w:r>
      <w:r>
        <w:rPr>
          <w:rFonts w:hint="eastAsia"/>
          <w:sz w:val="21"/>
          <w:szCs w:val="24"/>
        </w:rPr>
        <w:instrText xml:space="preserve"> PAGEREF _Toc12670 </w:instrText>
      </w:r>
      <w:r>
        <w:rPr>
          <w:rFonts w:hint="eastAsia"/>
          <w:sz w:val="21"/>
          <w:szCs w:val="24"/>
        </w:rPr>
        <w:fldChar w:fldCharType="separate"/>
      </w:r>
      <w:r>
        <w:rPr>
          <w:rFonts w:hint="eastAsia"/>
          <w:sz w:val="21"/>
          <w:szCs w:val="24"/>
        </w:rPr>
        <w:t>- 59 -</w:t>
      </w:r>
      <w:r>
        <w:rPr>
          <w:rFonts w:hint="eastAsia"/>
          <w:sz w:val="21"/>
          <w:szCs w:val="24"/>
        </w:rPr>
        <w:fldChar w:fldCharType="end"/>
      </w:r>
      <w:r>
        <w:rPr>
          <w:rFonts w:hint="eastAsia"/>
          <w:sz w:val="21"/>
          <w:szCs w:val="24"/>
        </w:rPr>
        <w:fldChar w:fldCharType="end"/>
      </w:r>
    </w:p>
    <w:p>
      <w:pPr>
        <w:pStyle w:val="21"/>
        <w:tabs>
          <w:tab w:val="right" w:leader="dot" w:pos="8306"/>
        </w:tabs>
        <w:spacing w:beforeLines="0" w:afterLines="0"/>
        <w:rPr>
          <w:rFonts w:hint="eastAsia"/>
          <w:sz w:val="28"/>
          <w:szCs w:val="24"/>
        </w:rPr>
      </w:pPr>
      <w:r>
        <w:rPr>
          <w:rFonts w:hint="eastAsia"/>
          <w:sz w:val="28"/>
          <w:szCs w:val="24"/>
        </w:rPr>
        <w:fldChar w:fldCharType="begin"/>
      </w:r>
      <w:r>
        <w:rPr>
          <w:rFonts w:hint="eastAsia"/>
          <w:sz w:val="28"/>
          <w:szCs w:val="24"/>
        </w:rPr>
        <w:instrText xml:space="preserve"> HYPERLINK \l _Toc6858 </w:instrText>
      </w:r>
      <w:r>
        <w:rPr>
          <w:rFonts w:hint="eastAsia"/>
          <w:sz w:val="28"/>
          <w:szCs w:val="24"/>
        </w:rPr>
        <w:fldChar w:fldCharType="separate"/>
      </w:r>
      <w:r>
        <w:rPr>
          <w:rFonts w:hint="eastAsia" w:eastAsia="Times New Roman"/>
          <w:sz w:val="28"/>
          <w:szCs w:val="24"/>
        </w:rPr>
        <w:t xml:space="preserve">6 </w:t>
      </w:r>
      <w:r>
        <w:rPr>
          <w:rFonts w:hint="eastAsia"/>
          <w:sz w:val="28"/>
          <w:szCs w:val="24"/>
        </w:rPr>
        <w:t>附则</w:t>
      </w:r>
      <w:r>
        <w:rPr>
          <w:rFonts w:hint="eastAsia"/>
          <w:sz w:val="28"/>
          <w:szCs w:val="24"/>
        </w:rPr>
        <w:tab/>
      </w:r>
      <w:r>
        <w:rPr>
          <w:rFonts w:hint="eastAsia"/>
          <w:sz w:val="28"/>
          <w:szCs w:val="24"/>
        </w:rPr>
        <w:fldChar w:fldCharType="begin"/>
      </w:r>
      <w:r>
        <w:rPr>
          <w:rFonts w:hint="eastAsia"/>
          <w:sz w:val="28"/>
          <w:szCs w:val="24"/>
        </w:rPr>
        <w:instrText xml:space="preserve"> PAGEREF _Toc6858 </w:instrText>
      </w:r>
      <w:r>
        <w:rPr>
          <w:rFonts w:hint="eastAsia"/>
          <w:sz w:val="28"/>
          <w:szCs w:val="24"/>
        </w:rPr>
        <w:fldChar w:fldCharType="separate"/>
      </w:r>
      <w:r>
        <w:rPr>
          <w:rFonts w:hint="eastAsia"/>
          <w:sz w:val="28"/>
          <w:szCs w:val="24"/>
        </w:rPr>
        <w:t>- 60 -</w:t>
      </w:r>
      <w:r>
        <w:rPr>
          <w:rFonts w:hint="eastAsia"/>
          <w:sz w:val="28"/>
          <w:szCs w:val="24"/>
        </w:rPr>
        <w:fldChar w:fldCharType="end"/>
      </w:r>
      <w:r>
        <w:rPr>
          <w:rFonts w:hint="eastAsia"/>
          <w:sz w:val="28"/>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_Toc30664 </w:instrText>
      </w:r>
      <w:r>
        <w:rPr>
          <w:rFonts w:hint="eastAsia"/>
          <w:sz w:val="21"/>
          <w:szCs w:val="24"/>
        </w:rPr>
        <w:fldChar w:fldCharType="separate"/>
      </w:r>
      <w:r>
        <w:rPr>
          <w:rFonts w:hint="eastAsia" w:eastAsia="Times New Roman"/>
          <w:sz w:val="21"/>
          <w:szCs w:val="24"/>
        </w:rPr>
        <w:t xml:space="preserve">6.1 </w:t>
      </w:r>
      <w:r>
        <w:rPr>
          <w:rFonts w:hint="eastAsia"/>
          <w:sz w:val="21"/>
          <w:szCs w:val="24"/>
        </w:rPr>
        <w:t>名词术语</w:t>
      </w:r>
      <w:r>
        <w:rPr>
          <w:rFonts w:hint="eastAsia"/>
          <w:sz w:val="21"/>
          <w:szCs w:val="24"/>
        </w:rPr>
        <w:tab/>
      </w:r>
      <w:r>
        <w:rPr>
          <w:rFonts w:hint="eastAsia"/>
          <w:sz w:val="21"/>
          <w:szCs w:val="24"/>
        </w:rPr>
        <w:fldChar w:fldCharType="begin"/>
      </w:r>
      <w:r>
        <w:rPr>
          <w:rFonts w:hint="eastAsia"/>
          <w:sz w:val="21"/>
          <w:szCs w:val="24"/>
        </w:rPr>
        <w:instrText xml:space="preserve"> PAGEREF _Toc30664 </w:instrText>
      </w:r>
      <w:r>
        <w:rPr>
          <w:rFonts w:hint="eastAsia"/>
          <w:sz w:val="21"/>
          <w:szCs w:val="24"/>
        </w:rPr>
        <w:fldChar w:fldCharType="separate"/>
      </w:r>
      <w:r>
        <w:rPr>
          <w:rFonts w:hint="eastAsia"/>
          <w:sz w:val="21"/>
          <w:szCs w:val="24"/>
        </w:rPr>
        <w:t>- 60 -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_Toc25756 </w:instrText>
      </w:r>
      <w:r>
        <w:rPr>
          <w:rFonts w:hint="eastAsia"/>
          <w:sz w:val="21"/>
          <w:szCs w:val="24"/>
        </w:rPr>
        <w:fldChar w:fldCharType="separate"/>
      </w:r>
      <w:r>
        <w:rPr>
          <w:rFonts w:hint="eastAsia" w:eastAsia="Times New Roman"/>
          <w:sz w:val="21"/>
          <w:szCs w:val="24"/>
        </w:rPr>
        <w:t xml:space="preserve">6.2 </w:t>
      </w:r>
      <w:r>
        <w:rPr>
          <w:rFonts w:hint="eastAsia"/>
          <w:sz w:val="21"/>
          <w:szCs w:val="24"/>
        </w:rPr>
        <w:t>预案解释权属</w:t>
      </w:r>
      <w:r>
        <w:rPr>
          <w:rFonts w:hint="eastAsia"/>
          <w:sz w:val="21"/>
          <w:szCs w:val="24"/>
        </w:rPr>
        <w:tab/>
      </w:r>
      <w:r>
        <w:rPr>
          <w:rFonts w:hint="eastAsia"/>
          <w:sz w:val="21"/>
          <w:szCs w:val="24"/>
        </w:rPr>
        <w:fldChar w:fldCharType="begin"/>
      </w:r>
      <w:r>
        <w:rPr>
          <w:rFonts w:hint="eastAsia"/>
          <w:sz w:val="21"/>
          <w:szCs w:val="24"/>
        </w:rPr>
        <w:instrText xml:space="preserve"> PAGEREF _Toc25756 </w:instrText>
      </w:r>
      <w:r>
        <w:rPr>
          <w:rFonts w:hint="eastAsia"/>
          <w:sz w:val="21"/>
          <w:szCs w:val="24"/>
        </w:rPr>
        <w:fldChar w:fldCharType="separate"/>
      </w:r>
      <w:r>
        <w:rPr>
          <w:rFonts w:hint="eastAsia"/>
          <w:sz w:val="21"/>
          <w:szCs w:val="24"/>
        </w:rPr>
        <w:t>- 62 -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_Toc26472 </w:instrText>
      </w:r>
      <w:r>
        <w:rPr>
          <w:rFonts w:hint="eastAsia"/>
          <w:sz w:val="21"/>
          <w:szCs w:val="24"/>
        </w:rPr>
        <w:fldChar w:fldCharType="separate"/>
      </w:r>
      <w:r>
        <w:rPr>
          <w:rFonts w:hint="eastAsia" w:eastAsia="Times New Roman"/>
          <w:sz w:val="21"/>
          <w:szCs w:val="24"/>
        </w:rPr>
        <w:t xml:space="preserve">6.3 </w:t>
      </w:r>
      <w:r>
        <w:rPr>
          <w:rFonts w:hint="eastAsia"/>
          <w:sz w:val="21"/>
          <w:szCs w:val="24"/>
        </w:rPr>
        <w:t>预案管理</w:t>
      </w:r>
      <w:r>
        <w:rPr>
          <w:rFonts w:hint="eastAsia"/>
          <w:sz w:val="21"/>
          <w:szCs w:val="24"/>
        </w:rPr>
        <w:tab/>
      </w:r>
      <w:r>
        <w:rPr>
          <w:rFonts w:hint="eastAsia"/>
          <w:sz w:val="21"/>
          <w:szCs w:val="24"/>
        </w:rPr>
        <w:fldChar w:fldCharType="begin"/>
      </w:r>
      <w:r>
        <w:rPr>
          <w:rFonts w:hint="eastAsia"/>
          <w:sz w:val="21"/>
          <w:szCs w:val="24"/>
        </w:rPr>
        <w:instrText xml:space="preserve"> PAGEREF _Toc26472 </w:instrText>
      </w:r>
      <w:r>
        <w:rPr>
          <w:rFonts w:hint="eastAsia"/>
          <w:sz w:val="21"/>
          <w:szCs w:val="24"/>
        </w:rPr>
        <w:fldChar w:fldCharType="separate"/>
      </w:r>
      <w:r>
        <w:rPr>
          <w:rFonts w:hint="eastAsia"/>
          <w:sz w:val="21"/>
          <w:szCs w:val="24"/>
        </w:rPr>
        <w:t>- 62 -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_Toc17692 </w:instrText>
      </w:r>
      <w:r>
        <w:rPr>
          <w:rFonts w:hint="eastAsia"/>
          <w:sz w:val="21"/>
          <w:szCs w:val="24"/>
        </w:rPr>
        <w:fldChar w:fldCharType="separate"/>
      </w:r>
      <w:r>
        <w:rPr>
          <w:rFonts w:hint="eastAsia" w:eastAsia="Times New Roman"/>
          <w:sz w:val="21"/>
          <w:szCs w:val="24"/>
        </w:rPr>
        <w:t xml:space="preserve">6.4 </w:t>
      </w:r>
      <w:r>
        <w:rPr>
          <w:rFonts w:hint="eastAsia"/>
          <w:sz w:val="21"/>
          <w:szCs w:val="24"/>
        </w:rPr>
        <w:t>预案宣传培训</w:t>
      </w:r>
      <w:r>
        <w:rPr>
          <w:rFonts w:hint="eastAsia"/>
          <w:sz w:val="21"/>
          <w:szCs w:val="24"/>
        </w:rPr>
        <w:tab/>
      </w:r>
      <w:r>
        <w:rPr>
          <w:rFonts w:hint="eastAsia"/>
          <w:sz w:val="21"/>
          <w:szCs w:val="24"/>
        </w:rPr>
        <w:fldChar w:fldCharType="begin"/>
      </w:r>
      <w:r>
        <w:rPr>
          <w:rFonts w:hint="eastAsia"/>
          <w:sz w:val="21"/>
          <w:szCs w:val="24"/>
        </w:rPr>
        <w:instrText xml:space="preserve"> PAGEREF _Toc17692 </w:instrText>
      </w:r>
      <w:r>
        <w:rPr>
          <w:rFonts w:hint="eastAsia"/>
          <w:sz w:val="21"/>
          <w:szCs w:val="24"/>
        </w:rPr>
        <w:fldChar w:fldCharType="separate"/>
      </w:r>
      <w:r>
        <w:rPr>
          <w:rFonts w:hint="eastAsia"/>
          <w:sz w:val="21"/>
          <w:szCs w:val="24"/>
        </w:rPr>
        <w:t>- 62 -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_Toc29669 </w:instrText>
      </w:r>
      <w:r>
        <w:rPr>
          <w:rFonts w:hint="eastAsia"/>
          <w:sz w:val="21"/>
          <w:szCs w:val="24"/>
        </w:rPr>
        <w:fldChar w:fldCharType="separate"/>
      </w:r>
      <w:r>
        <w:rPr>
          <w:rFonts w:hint="eastAsia" w:eastAsia="Times New Roman"/>
          <w:sz w:val="21"/>
          <w:szCs w:val="24"/>
        </w:rPr>
        <w:t xml:space="preserve">6.5 </w:t>
      </w:r>
      <w:r>
        <w:rPr>
          <w:rFonts w:hint="eastAsia"/>
          <w:sz w:val="21"/>
          <w:szCs w:val="24"/>
        </w:rPr>
        <w:t>预案演练和修订</w:t>
      </w:r>
      <w:r>
        <w:rPr>
          <w:rFonts w:hint="eastAsia"/>
          <w:sz w:val="21"/>
          <w:szCs w:val="24"/>
        </w:rPr>
        <w:tab/>
      </w:r>
      <w:r>
        <w:rPr>
          <w:rFonts w:hint="eastAsia"/>
          <w:sz w:val="21"/>
          <w:szCs w:val="24"/>
        </w:rPr>
        <w:fldChar w:fldCharType="begin"/>
      </w:r>
      <w:r>
        <w:rPr>
          <w:rFonts w:hint="eastAsia"/>
          <w:sz w:val="21"/>
          <w:szCs w:val="24"/>
        </w:rPr>
        <w:instrText xml:space="preserve"> PAGEREF _Toc29669 </w:instrText>
      </w:r>
      <w:r>
        <w:rPr>
          <w:rFonts w:hint="eastAsia"/>
          <w:sz w:val="21"/>
          <w:szCs w:val="24"/>
        </w:rPr>
        <w:fldChar w:fldCharType="separate"/>
      </w:r>
      <w:r>
        <w:rPr>
          <w:rFonts w:hint="eastAsia"/>
          <w:sz w:val="21"/>
          <w:szCs w:val="24"/>
        </w:rPr>
        <w:t>- 63 -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_Toc24905 </w:instrText>
      </w:r>
      <w:r>
        <w:rPr>
          <w:rFonts w:hint="eastAsia"/>
          <w:sz w:val="21"/>
          <w:szCs w:val="24"/>
        </w:rPr>
        <w:fldChar w:fldCharType="separate"/>
      </w:r>
      <w:r>
        <w:rPr>
          <w:rFonts w:hint="eastAsia" w:eastAsia="Times New Roman"/>
          <w:sz w:val="21"/>
          <w:szCs w:val="24"/>
        </w:rPr>
        <w:t xml:space="preserve">6.5.1 </w:t>
      </w:r>
      <w:r>
        <w:rPr>
          <w:rFonts w:hint="eastAsia"/>
          <w:sz w:val="21"/>
          <w:szCs w:val="24"/>
        </w:rPr>
        <w:t>预案演练</w:t>
      </w:r>
      <w:r>
        <w:rPr>
          <w:rFonts w:hint="eastAsia"/>
          <w:sz w:val="21"/>
          <w:szCs w:val="24"/>
        </w:rPr>
        <w:tab/>
      </w:r>
      <w:r>
        <w:rPr>
          <w:rFonts w:hint="eastAsia"/>
          <w:sz w:val="21"/>
          <w:szCs w:val="24"/>
        </w:rPr>
        <w:fldChar w:fldCharType="begin"/>
      </w:r>
      <w:r>
        <w:rPr>
          <w:rFonts w:hint="eastAsia"/>
          <w:sz w:val="21"/>
          <w:szCs w:val="24"/>
        </w:rPr>
        <w:instrText xml:space="preserve"> PAGEREF _Toc24905 </w:instrText>
      </w:r>
      <w:r>
        <w:rPr>
          <w:rFonts w:hint="eastAsia"/>
          <w:sz w:val="21"/>
          <w:szCs w:val="24"/>
        </w:rPr>
        <w:fldChar w:fldCharType="separate"/>
      </w:r>
      <w:r>
        <w:rPr>
          <w:rFonts w:hint="eastAsia"/>
          <w:sz w:val="21"/>
          <w:szCs w:val="24"/>
        </w:rPr>
        <w:t>- 63 -</w:t>
      </w:r>
      <w:r>
        <w:rPr>
          <w:rFonts w:hint="eastAsia"/>
          <w:sz w:val="21"/>
          <w:szCs w:val="24"/>
        </w:rPr>
        <w:fldChar w:fldCharType="end"/>
      </w:r>
      <w:r>
        <w:rPr>
          <w:rFonts w:hint="eastAsia"/>
          <w:sz w:val="21"/>
          <w:szCs w:val="24"/>
        </w:rPr>
        <w:fldChar w:fldCharType="end"/>
      </w:r>
    </w:p>
    <w:p>
      <w:pPr>
        <w:pStyle w:val="15"/>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_Toc30609 </w:instrText>
      </w:r>
      <w:r>
        <w:rPr>
          <w:rFonts w:hint="eastAsia"/>
          <w:sz w:val="21"/>
          <w:szCs w:val="24"/>
        </w:rPr>
        <w:fldChar w:fldCharType="separate"/>
      </w:r>
      <w:r>
        <w:rPr>
          <w:rFonts w:hint="eastAsia" w:eastAsia="Times New Roman"/>
          <w:sz w:val="21"/>
          <w:szCs w:val="24"/>
        </w:rPr>
        <w:t xml:space="preserve">6.5.2 </w:t>
      </w:r>
      <w:r>
        <w:rPr>
          <w:rFonts w:hint="eastAsia"/>
          <w:sz w:val="21"/>
          <w:szCs w:val="24"/>
        </w:rPr>
        <w:t>预案修订</w:t>
      </w:r>
      <w:r>
        <w:rPr>
          <w:rFonts w:hint="eastAsia"/>
          <w:sz w:val="21"/>
          <w:szCs w:val="24"/>
        </w:rPr>
        <w:tab/>
      </w:r>
      <w:r>
        <w:rPr>
          <w:rFonts w:hint="eastAsia"/>
          <w:sz w:val="21"/>
          <w:szCs w:val="24"/>
        </w:rPr>
        <w:fldChar w:fldCharType="begin"/>
      </w:r>
      <w:r>
        <w:rPr>
          <w:rFonts w:hint="eastAsia"/>
          <w:sz w:val="21"/>
          <w:szCs w:val="24"/>
        </w:rPr>
        <w:instrText xml:space="preserve"> PAGEREF _Toc30609 </w:instrText>
      </w:r>
      <w:r>
        <w:rPr>
          <w:rFonts w:hint="eastAsia"/>
          <w:sz w:val="21"/>
          <w:szCs w:val="24"/>
        </w:rPr>
        <w:fldChar w:fldCharType="separate"/>
      </w:r>
      <w:r>
        <w:rPr>
          <w:rFonts w:hint="eastAsia"/>
          <w:sz w:val="21"/>
          <w:szCs w:val="24"/>
        </w:rPr>
        <w:t>- 64 -</w:t>
      </w:r>
      <w:r>
        <w:rPr>
          <w:rFonts w:hint="eastAsia"/>
          <w:sz w:val="21"/>
          <w:szCs w:val="24"/>
        </w:rPr>
        <w:fldChar w:fldCharType="end"/>
      </w:r>
      <w:r>
        <w:rPr>
          <w:rFonts w:hint="eastAsia"/>
          <w:sz w:val="21"/>
          <w:szCs w:val="24"/>
        </w:rPr>
        <w:fldChar w:fldCharType="end"/>
      </w:r>
    </w:p>
    <w:p>
      <w:pPr>
        <w:pStyle w:val="24"/>
        <w:tabs>
          <w:tab w:val="right" w:leader="dot" w:pos="8306"/>
        </w:tabs>
        <w:spacing w:beforeLines="0" w:afterLines="0"/>
        <w:rPr>
          <w:rFonts w:hint="eastAsia"/>
          <w:sz w:val="21"/>
          <w:szCs w:val="24"/>
        </w:rPr>
      </w:pPr>
      <w:r>
        <w:rPr>
          <w:rFonts w:hint="eastAsia"/>
          <w:sz w:val="21"/>
          <w:szCs w:val="24"/>
        </w:rPr>
        <w:fldChar w:fldCharType="begin"/>
      </w:r>
      <w:r>
        <w:rPr>
          <w:rFonts w:hint="eastAsia"/>
          <w:sz w:val="21"/>
          <w:szCs w:val="24"/>
        </w:rPr>
        <w:instrText xml:space="preserve"> HYPERLINK \l _Toc30290 </w:instrText>
      </w:r>
      <w:r>
        <w:rPr>
          <w:rFonts w:hint="eastAsia"/>
          <w:sz w:val="21"/>
          <w:szCs w:val="24"/>
        </w:rPr>
        <w:fldChar w:fldCharType="separate"/>
      </w:r>
      <w:r>
        <w:rPr>
          <w:rFonts w:hint="eastAsia" w:eastAsia="Times New Roman"/>
          <w:sz w:val="21"/>
          <w:szCs w:val="24"/>
        </w:rPr>
        <w:t xml:space="preserve">6.6 </w:t>
      </w:r>
      <w:r>
        <w:rPr>
          <w:rFonts w:hint="eastAsia"/>
          <w:sz w:val="21"/>
          <w:szCs w:val="24"/>
        </w:rPr>
        <w:t>预案实施日期</w:t>
      </w:r>
      <w:r>
        <w:rPr>
          <w:rFonts w:hint="eastAsia"/>
          <w:sz w:val="21"/>
          <w:szCs w:val="24"/>
        </w:rPr>
        <w:tab/>
      </w:r>
      <w:r>
        <w:rPr>
          <w:rFonts w:hint="eastAsia"/>
          <w:sz w:val="21"/>
          <w:szCs w:val="24"/>
        </w:rPr>
        <w:fldChar w:fldCharType="begin"/>
      </w:r>
      <w:r>
        <w:rPr>
          <w:rFonts w:hint="eastAsia"/>
          <w:sz w:val="21"/>
          <w:szCs w:val="24"/>
        </w:rPr>
        <w:instrText xml:space="preserve"> PAGEREF _Toc30290 </w:instrText>
      </w:r>
      <w:r>
        <w:rPr>
          <w:rFonts w:hint="eastAsia"/>
          <w:sz w:val="21"/>
          <w:szCs w:val="24"/>
        </w:rPr>
        <w:fldChar w:fldCharType="separate"/>
      </w:r>
      <w:r>
        <w:rPr>
          <w:rFonts w:hint="eastAsia"/>
          <w:sz w:val="21"/>
          <w:szCs w:val="24"/>
        </w:rPr>
        <w:t>- 65 -</w:t>
      </w:r>
      <w:r>
        <w:rPr>
          <w:rFonts w:hint="eastAsia"/>
          <w:sz w:val="21"/>
          <w:szCs w:val="24"/>
        </w:rPr>
        <w:fldChar w:fldCharType="end"/>
      </w:r>
      <w:r>
        <w:rPr>
          <w:rFonts w:hint="eastAsia"/>
          <w:sz w:val="21"/>
          <w:szCs w:val="24"/>
        </w:rPr>
        <w:fldChar w:fldCharType="end"/>
      </w:r>
    </w:p>
    <w:p>
      <w:pPr>
        <w:pStyle w:val="21"/>
        <w:tabs>
          <w:tab w:val="right" w:leader="dot" w:pos="8306"/>
        </w:tabs>
        <w:spacing w:beforeLines="0" w:afterLines="0"/>
        <w:rPr>
          <w:rFonts w:hint="eastAsia"/>
          <w:sz w:val="28"/>
          <w:szCs w:val="24"/>
        </w:rPr>
        <w:sectPr>
          <w:footerReference r:id="rId4" w:type="default"/>
          <w:pgSz w:w="11906" w:h="16838"/>
          <w:pgMar w:top="2098" w:right="1474" w:bottom="1984" w:left="1587" w:header="851" w:footer="992" w:gutter="0"/>
          <w:lnNumType w:countBy="0" w:distance="360"/>
          <w:pgNumType w:fmt="decimal" w:start="1"/>
          <w:cols w:space="720" w:num="1"/>
          <w:docGrid w:type="lines" w:linePitch="312" w:charSpace="0"/>
        </w:sectPr>
      </w:pPr>
      <w:r>
        <w:rPr>
          <w:rFonts w:hint="eastAsia"/>
          <w:sz w:val="21"/>
          <w:szCs w:val="24"/>
        </w:rPr>
        <w:fldChar w:fldCharType="end"/>
      </w:r>
    </w:p>
    <w:p>
      <w:pPr>
        <w:pStyle w:val="4"/>
        <w:spacing w:beforeLines="0" w:afterLines="0"/>
        <w:jc w:val="left"/>
        <w:rPr>
          <w:rFonts w:hint="eastAsia"/>
          <w:sz w:val="44"/>
          <w:szCs w:val="24"/>
        </w:rPr>
      </w:pPr>
      <w:bookmarkStart w:id="0" w:name="_Toc31811"/>
      <w:r>
        <w:rPr>
          <w:rFonts w:hint="eastAsia"/>
          <w:sz w:val="36"/>
          <w:szCs w:val="24"/>
        </w:rPr>
        <w:t>总则</w:t>
      </w:r>
      <w:bookmarkEnd w:id="0"/>
    </w:p>
    <w:p>
      <w:pPr>
        <w:pStyle w:val="5"/>
        <w:spacing w:beforeLines="0" w:afterLines="0"/>
        <w:rPr>
          <w:rFonts w:hint="eastAsia"/>
          <w:sz w:val="36"/>
          <w:szCs w:val="24"/>
        </w:rPr>
      </w:pPr>
      <w:bookmarkStart w:id="1" w:name="_Toc17804"/>
      <w:r>
        <w:rPr>
          <w:rFonts w:hint="eastAsia"/>
          <w:sz w:val="36"/>
          <w:szCs w:val="24"/>
        </w:rPr>
        <w:t>编制目的</w:t>
      </w:r>
      <w:bookmarkEnd w:id="1"/>
    </w:p>
    <w:p>
      <w:pPr>
        <w:spacing w:beforeLines="0" w:afterLines="0"/>
        <w:rPr>
          <w:rFonts w:hint="eastAsia"/>
          <w:sz w:val="28"/>
          <w:szCs w:val="24"/>
        </w:rPr>
      </w:pPr>
      <w:r>
        <w:rPr>
          <w:rFonts w:hint="eastAsia"/>
          <w:sz w:val="28"/>
          <w:szCs w:val="24"/>
        </w:rPr>
        <w:t>为提高伦潭水库水源地突发环境事件监控预警和应急响应能力，加强各级政府、政府和各部门之间的应急联动能力，有效预防，及时、有序、高效、科学、妥善处理水源地突发环境事件，最大限度地保障公众供水安全，特制订本预案。</w:t>
      </w:r>
    </w:p>
    <w:p>
      <w:pPr>
        <w:pStyle w:val="5"/>
        <w:spacing w:beforeLines="0" w:afterLines="0"/>
        <w:rPr>
          <w:rFonts w:hint="eastAsia"/>
          <w:sz w:val="36"/>
          <w:szCs w:val="24"/>
        </w:rPr>
      </w:pPr>
      <w:bookmarkStart w:id="2" w:name="_Toc3686"/>
      <w:r>
        <w:rPr>
          <w:rFonts w:hint="eastAsia"/>
          <w:sz w:val="36"/>
          <w:szCs w:val="24"/>
        </w:rPr>
        <w:t>编制依据</w:t>
      </w:r>
      <w:bookmarkEnd w:id="2"/>
    </w:p>
    <w:p>
      <w:pPr>
        <w:pStyle w:val="6"/>
        <w:spacing w:beforeLines="0" w:afterLines="0"/>
        <w:rPr>
          <w:rFonts w:hint="eastAsia"/>
          <w:sz w:val="32"/>
          <w:szCs w:val="24"/>
        </w:rPr>
      </w:pPr>
      <w:bookmarkStart w:id="3" w:name="_Toc29670"/>
      <w:r>
        <w:rPr>
          <w:rFonts w:hint="eastAsia"/>
          <w:sz w:val="32"/>
          <w:szCs w:val="24"/>
        </w:rPr>
        <w:t>法律、法规和规章</w:t>
      </w:r>
      <w:bookmarkEnd w:id="3"/>
    </w:p>
    <w:p>
      <w:pPr>
        <w:numPr>
          <w:ilvl w:val="0"/>
          <w:numId w:val="2"/>
        </w:numPr>
        <w:spacing w:beforeLines="0" w:afterLines="0"/>
        <w:ind w:firstLine="560"/>
        <w:rPr>
          <w:rFonts w:hint="eastAsia"/>
          <w:sz w:val="28"/>
          <w:szCs w:val="24"/>
        </w:rPr>
      </w:pPr>
      <w:r>
        <w:rPr>
          <w:rFonts w:hint="eastAsia"/>
          <w:sz w:val="28"/>
          <w:szCs w:val="24"/>
        </w:rPr>
        <w:t>《中华人民共和国环境保护法》（2015年1月1日起施行）；</w:t>
      </w:r>
    </w:p>
    <w:p>
      <w:pPr>
        <w:numPr>
          <w:ilvl w:val="0"/>
          <w:numId w:val="2"/>
        </w:numPr>
        <w:spacing w:beforeLines="0" w:afterLines="0"/>
        <w:ind w:firstLine="560"/>
        <w:rPr>
          <w:rFonts w:hint="eastAsia"/>
          <w:sz w:val="28"/>
          <w:szCs w:val="24"/>
        </w:rPr>
      </w:pPr>
      <w:r>
        <w:rPr>
          <w:rFonts w:hint="eastAsia"/>
          <w:sz w:val="28"/>
          <w:szCs w:val="24"/>
        </w:rPr>
        <w:t>《中华人民共和国突发事件应对法》（2007年11月1日起施行）；</w:t>
      </w:r>
    </w:p>
    <w:p>
      <w:pPr>
        <w:numPr>
          <w:ilvl w:val="0"/>
          <w:numId w:val="2"/>
        </w:numPr>
        <w:spacing w:beforeLines="0" w:afterLines="0"/>
        <w:ind w:firstLine="560"/>
        <w:rPr>
          <w:rFonts w:hint="eastAsia"/>
          <w:sz w:val="28"/>
          <w:szCs w:val="24"/>
        </w:rPr>
      </w:pPr>
      <w:r>
        <w:rPr>
          <w:rFonts w:hint="eastAsia"/>
          <w:sz w:val="28"/>
          <w:szCs w:val="24"/>
        </w:rPr>
        <w:t>《中华人民共和国水污染防治法》（2017年6月27日修订）；</w:t>
      </w:r>
    </w:p>
    <w:p>
      <w:pPr>
        <w:numPr>
          <w:ilvl w:val="0"/>
          <w:numId w:val="2"/>
        </w:numPr>
        <w:spacing w:beforeLines="0" w:afterLines="0"/>
        <w:ind w:firstLine="560"/>
        <w:rPr>
          <w:rFonts w:hint="eastAsia"/>
          <w:sz w:val="28"/>
          <w:szCs w:val="24"/>
        </w:rPr>
      </w:pPr>
      <w:r>
        <w:rPr>
          <w:rFonts w:hint="eastAsia"/>
          <w:sz w:val="28"/>
          <w:szCs w:val="24"/>
        </w:rPr>
        <w:t>《中华人民共和国水法》（2016年9月1日起施行）；</w:t>
      </w:r>
    </w:p>
    <w:p>
      <w:pPr>
        <w:numPr>
          <w:ilvl w:val="0"/>
          <w:numId w:val="2"/>
        </w:numPr>
        <w:spacing w:beforeLines="0" w:afterLines="0"/>
        <w:ind w:firstLine="560"/>
        <w:rPr>
          <w:rFonts w:hint="eastAsia"/>
          <w:sz w:val="28"/>
          <w:szCs w:val="24"/>
        </w:rPr>
      </w:pPr>
      <w:r>
        <w:rPr>
          <w:rFonts w:hint="eastAsia"/>
          <w:sz w:val="28"/>
          <w:szCs w:val="24"/>
        </w:rPr>
        <w:t>《危险化学品安全管理条例》（国务院令第591号）；</w:t>
      </w:r>
    </w:p>
    <w:p>
      <w:pPr>
        <w:numPr>
          <w:ilvl w:val="0"/>
          <w:numId w:val="2"/>
        </w:numPr>
        <w:spacing w:beforeLines="0" w:afterLines="0"/>
        <w:ind w:firstLine="560"/>
        <w:rPr>
          <w:rFonts w:hint="eastAsia"/>
          <w:sz w:val="28"/>
          <w:szCs w:val="24"/>
        </w:rPr>
      </w:pPr>
      <w:r>
        <w:rPr>
          <w:rFonts w:hint="eastAsia"/>
          <w:sz w:val="28"/>
          <w:szCs w:val="24"/>
        </w:rPr>
        <w:t>《饮用水水源保护区污染防治管理规定》（环境保护部令第16号）；</w:t>
      </w:r>
    </w:p>
    <w:p>
      <w:pPr>
        <w:numPr>
          <w:ilvl w:val="0"/>
          <w:numId w:val="2"/>
        </w:numPr>
        <w:spacing w:beforeLines="0" w:afterLines="0"/>
        <w:ind w:firstLine="560"/>
        <w:rPr>
          <w:rFonts w:hint="eastAsia"/>
          <w:sz w:val="28"/>
          <w:szCs w:val="24"/>
        </w:rPr>
      </w:pPr>
      <w:r>
        <w:rPr>
          <w:rFonts w:hint="eastAsia"/>
          <w:sz w:val="28"/>
          <w:szCs w:val="24"/>
        </w:rPr>
        <w:t>《中华人民共和国固体废物污染环境防治法》（2020年4月29日修订）；</w:t>
      </w:r>
    </w:p>
    <w:p>
      <w:pPr>
        <w:numPr>
          <w:ilvl w:val="0"/>
          <w:numId w:val="2"/>
        </w:numPr>
        <w:spacing w:beforeLines="0" w:afterLines="0"/>
        <w:ind w:firstLine="560"/>
        <w:rPr>
          <w:rFonts w:hint="eastAsia"/>
          <w:sz w:val="28"/>
          <w:szCs w:val="24"/>
        </w:rPr>
      </w:pPr>
      <w:r>
        <w:rPr>
          <w:rFonts w:hint="eastAsia"/>
          <w:sz w:val="28"/>
          <w:szCs w:val="24"/>
        </w:rPr>
        <w:t>《突发环境事件信息报告办法》（环境保护部令第17号，2011年5月1日起施行）；</w:t>
      </w:r>
    </w:p>
    <w:p>
      <w:pPr>
        <w:numPr>
          <w:ilvl w:val="0"/>
          <w:numId w:val="2"/>
        </w:numPr>
        <w:spacing w:beforeLines="0" w:afterLines="0"/>
        <w:ind w:firstLine="560"/>
        <w:rPr>
          <w:rFonts w:hint="eastAsia"/>
          <w:sz w:val="28"/>
          <w:szCs w:val="24"/>
        </w:rPr>
      </w:pPr>
      <w:r>
        <w:rPr>
          <w:rFonts w:hint="eastAsia"/>
          <w:sz w:val="28"/>
          <w:szCs w:val="24"/>
        </w:rPr>
        <w:t>《突发环境事件调查处理办法》（环境保护部令第32号，2015年3月1起施行）；</w:t>
      </w:r>
    </w:p>
    <w:p>
      <w:pPr>
        <w:numPr>
          <w:ilvl w:val="0"/>
          <w:numId w:val="2"/>
        </w:numPr>
        <w:spacing w:beforeLines="0" w:afterLines="0"/>
        <w:ind w:firstLine="560"/>
        <w:rPr>
          <w:rFonts w:hint="eastAsia"/>
          <w:sz w:val="28"/>
          <w:szCs w:val="24"/>
        </w:rPr>
      </w:pPr>
      <w:r>
        <w:rPr>
          <w:rFonts w:hint="eastAsia"/>
          <w:sz w:val="28"/>
          <w:szCs w:val="24"/>
        </w:rPr>
        <w:t>《突发环境事件应急管理办法》（环境保护部令第34号，2015年6月5日起施行）。</w:t>
      </w:r>
    </w:p>
    <w:p>
      <w:pPr>
        <w:pStyle w:val="6"/>
        <w:spacing w:beforeLines="0" w:afterLines="0"/>
        <w:rPr>
          <w:rFonts w:hint="eastAsia"/>
          <w:sz w:val="32"/>
          <w:szCs w:val="24"/>
        </w:rPr>
      </w:pPr>
      <w:bookmarkStart w:id="4" w:name="_Toc14506"/>
      <w:r>
        <w:rPr>
          <w:rFonts w:hint="eastAsia"/>
          <w:sz w:val="32"/>
          <w:szCs w:val="24"/>
        </w:rPr>
        <w:t>有关预案、标准规范和规范性文件</w:t>
      </w:r>
      <w:bookmarkEnd w:id="4"/>
    </w:p>
    <w:p>
      <w:pPr>
        <w:numPr>
          <w:ilvl w:val="0"/>
          <w:numId w:val="3"/>
        </w:numPr>
        <w:spacing w:beforeLines="0" w:afterLines="0"/>
        <w:ind w:firstLine="560"/>
        <w:rPr>
          <w:rFonts w:hint="eastAsia"/>
          <w:sz w:val="28"/>
          <w:szCs w:val="24"/>
        </w:rPr>
      </w:pPr>
      <w:r>
        <w:rPr>
          <w:rFonts w:hint="eastAsia"/>
          <w:sz w:val="28"/>
          <w:szCs w:val="24"/>
        </w:rPr>
        <w:t>《国家突发环境事件应急预案》（国办函〔2014〕119号）；</w:t>
      </w:r>
    </w:p>
    <w:p>
      <w:pPr>
        <w:numPr>
          <w:ilvl w:val="0"/>
          <w:numId w:val="3"/>
        </w:numPr>
        <w:spacing w:beforeLines="0" w:afterLines="0"/>
        <w:ind w:firstLine="560"/>
        <w:rPr>
          <w:rFonts w:hint="eastAsia"/>
          <w:sz w:val="28"/>
          <w:szCs w:val="24"/>
        </w:rPr>
      </w:pPr>
      <w:r>
        <w:rPr>
          <w:rFonts w:hint="eastAsia"/>
          <w:sz w:val="28"/>
          <w:szCs w:val="24"/>
        </w:rPr>
        <w:t>《国家突发公共事件总体应急预案》（国发〔2005〕11号）；</w:t>
      </w:r>
    </w:p>
    <w:p>
      <w:pPr>
        <w:numPr>
          <w:ilvl w:val="0"/>
          <w:numId w:val="3"/>
        </w:numPr>
        <w:spacing w:beforeLines="0" w:afterLines="0"/>
        <w:ind w:firstLine="560"/>
        <w:rPr>
          <w:rFonts w:hint="eastAsia"/>
          <w:sz w:val="28"/>
          <w:szCs w:val="24"/>
        </w:rPr>
      </w:pPr>
      <w:r>
        <w:rPr>
          <w:rFonts w:hint="eastAsia"/>
          <w:sz w:val="28"/>
          <w:szCs w:val="24"/>
        </w:rPr>
        <w:t>《国家安全生产事故灾难应急预案》；</w:t>
      </w:r>
    </w:p>
    <w:p>
      <w:pPr>
        <w:numPr>
          <w:ilvl w:val="0"/>
          <w:numId w:val="3"/>
        </w:numPr>
        <w:spacing w:beforeLines="0" w:afterLines="0"/>
        <w:ind w:firstLine="560"/>
        <w:rPr>
          <w:rFonts w:hint="eastAsia"/>
          <w:sz w:val="28"/>
          <w:szCs w:val="24"/>
        </w:rPr>
      </w:pPr>
      <w:r>
        <w:rPr>
          <w:rFonts w:hint="eastAsia"/>
          <w:sz w:val="28"/>
          <w:szCs w:val="24"/>
        </w:rPr>
        <w:t>《地表水环境质量标准》（GB3838-2002）；</w:t>
      </w:r>
    </w:p>
    <w:p>
      <w:pPr>
        <w:numPr>
          <w:ilvl w:val="0"/>
          <w:numId w:val="3"/>
        </w:numPr>
        <w:spacing w:beforeLines="0" w:afterLines="0"/>
        <w:ind w:firstLine="560"/>
        <w:rPr>
          <w:rFonts w:hint="eastAsia"/>
          <w:sz w:val="28"/>
          <w:szCs w:val="24"/>
        </w:rPr>
      </w:pPr>
      <w:r>
        <w:rPr>
          <w:rFonts w:hint="eastAsia"/>
          <w:sz w:val="28"/>
          <w:szCs w:val="24"/>
        </w:rPr>
        <w:t>《突发环境事件应急监测技术规范》（HJ589-2010）；</w:t>
      </w:r>
    </w:p>
    <w:p>
      <w:pPr>
        <w:numPr>
          <w:ilvl w:val="0"/>
          <w:numId w:val="3"/>
        </w:numPr>
        <w:spacing w:beforeLines="0" w:afterLines="0"/>
        <w:ind w:firstLine="560"/>
        <w:rPr>
          <w:rFonts w:hint="eastAsia"/>
          <w:sz w:val="28"/>
          <w:szCs w:val="24"/>
        </w:rPr>
      </w:pPr>
      <w:r>
        <w:rPr>
          <w:rFonts w:hint="eastAsia"/>
          <w:sz w:val="28"/>
          <w:szCs w:val="24"/>
        </w:rPr>
        <w:t>《集中式饮用水水源地规范化建设环境保护技术要求》（HJ773-2015）；</w:t>
      </w:r>
    </w:p>
    <w:p>
      <w:pPr>
        <w:numPr>
          <w:ilvl w:val="0"/>
          <w:numId w:val="3"/>
        </w:numPr>
        <w:spacing w:beforeLines="0" w:afterLines="0"/>
        <w:ind w:firstLine="560"/>
        <w:rPr>
          <w:rFonts w:hint="eastAsia"/>
          <w:sz w:val="28"/>
          <w:szCs w:val="24"/>
        </w:rPr>
      </w:pPr>
      <w:r>
        <w:rPr>
          <w:rFonts w:hint="eastAsia"/>
          <w:sz w:val="28"/>
          <w:szCs w:val="24"/>
        </w:rPr>
        <w:t>《集中式饮用水水源地环境保护状况评估技术规范》（HJ774-2015）；</w:t>
      </w:r>
    </w:p>
    <w:p>
      <w:pPr>
        <w:numPr>
          <w:ilvl w:val="0"/>
          <w:numId w:val="3"/>
        </w:numPr>
        <w:spacing w:beforeLines="0" w:afterLines="0"/>
        <w:ind w:firstLine="560"/>
        <w:rPr>
          <w:rFonts w:hint="eastAsia"/>
          <w:sz w:val="28"/>
          <w:szCs w:val="24"/>
        </w:rPr>
      </w:pPr>
      <w:r>
        <w:rPr>
          <w:rFonts w:hint="eastAsia"/>
          <w:sz w:val="28"/>
          <w:szCs w:val="24"/>
        </w:rPr>
        <w:t>《企业突发环境事件风险分级方法》（HJ 941-2018）；</w:t>
      </w:r>
    </w:p>
    <w:p>
      <w:pPr>
        <w:numPr>
          <w:ilvl w:val="0"/>
          <w:numId w:val="3"/>
        </w:numPr>
        <w:spacing w:beforeLines="0" w:afterLines="0"/>
        <w:ind w:firstLine="560"/>
        <w:rPr>
          <w:rFonts w:hint="eastAsia"/>
          <w:sz w:val="28"/>
          <w:szCs w:val="24"/>
        </w:rPr>
      </w:pPr>
      <w:r>
        <w:rPr>
          <w:rFonts w:hint="eastAsia"/>
          <w:sz w:val="28"/>
          <w:szCs w:val="24"/>
        </w:rPr>
        <w:t>《突发环境事件应急预案管理暂行办法》（环发〔2010〕113号），2010年9月28日施行；</w:t>
      </w:r>
    </w:p>
    <w:p>
      <w:pPr>
        <w:numPr>
          <w:ilvl w:val="0"/>
          <w:numId w:val="3"/>
        </w:numPr>
        <w:spacing w:beforeLines="0" w:afterLines="0"/>
        <w:ind w:firstLine="560"/>
        <w:rPr>
          <w:rFonts w:hint="eastAsia"/>
          <w:sz w:val="28"/>
          <w:szCs w:val="24"/>
        </w:rPr>
      </w:pPr>
      <w:r>
        <w:rPr>
          <w:rFonts w:hint="eastAsia"/>
          <w:sz w:val="28"/>
          <w:szCs w:val="24"/>
        </w:rPr>
        <w:t>《集中式地表饮用水水源地环境应急管理工作指南》（环办〔2011〕93号）；</w:t>
      </w:r>
    </w:p>
    <w:p>
      <w:pPr>
        <w:numPr>
          <w:ilvl w:val="0"/>
          <w:numId w:val="3"/>
        </w:numPr>
        <w:spacing w:beforeLines="0" w:afterLines="0"/>
        <w:ind w:firstLine="560"/>
        <w:rPr>
          <w:rFonts w:hint="eastAsia"/>
          <w:sz w:val="28"/>
          <w:szCs w:val="24"/>
        </w:rPr>
      </w:pPr>
      <w:r>
        <w:rPr>
          <w:rFonts w:hint="eastAsia"/>
          <w:sz w:val="28"/>
          <w:szCs w:val="24"/>
        </w:rPr>
        <w:t>《集中式饮用水水源环境保护指南（试行）》（环办〔2012〕50号）；</w:t>
      </w:r>
    </w:p>
    <w:p>
      <w:pPr>
        <w:numPr>
          <w:ilvl w:val="0"/>
          <w:numId w:val="3"/>
        </w:numPr>
        <w:spacing w:beforeLines="0" w:afterLines="0"/>
        <w:ind w:firstLine="560"/>
        <w:rPr>
          <w:rFonts w:hint="eastAsia"/>
          <w:sz w:val="28"/>
          <w:szCs w:val="24"/>
        </w:rPr>
      </w:pPr>
      <w:r>
        <w:rPr>
          <w:rFonts w:hint="eastAsia"/>
          <w:sz w:val="28"/>
          <w:szCs w:val="24"/>
        </w:rPr>
        <w:t>《企业突发环境事件风险评估指南（试行）》（环办〔2014〕34号）；</w:t>
      </w:r>
    </w:p>
    <w:p>
      <w:pPr>
        <w:numPr>
          <w:ilvl w:val="0"/>
          <w:numId w:val="3"/>
        </w:numPr>
        <w:spacing w:beforeLines="0" w:afterLines="0"/>
        <w:ind w:firstLine="560"/>
        <w:rPr>
          <w:rFonts w:hint="eastAsia"/>
          <w:sz w:val="28"/>
          <w:szCs w:val="24"/>
        </w:rPr>
      </w:pPr>
      <w:r>
        <w:rPr>
          <w:rFonts w:hint="eastAsia"/>
          <w:sz w:val="28"/>
          <w:szCs w:val="24"/>
        </w:rPr>
        <w:t>《企业事业单位突发环境事件应急预案备案管理办法（试行）》（环发〔2015〕4号）；</w:t>
      </w:r>
    </w:p>
    <w:p>
      <w:pPr>
        <w:numPr>
          <w:ilvl w:val="0"/>
          <w:numId w:val="3"/>
        </w:numPr>
        <w:spacing w:beforeLines="0" w:afterLines="0"/>
        <w:ind w:firstLine="560"/>
        <w:rPr>
          <w:rFonts w:hint="eastAsia"/>
          <w:sz w:val="28"/>
          <w:szCs w:val="24"/>
        </w:rPr>
      </w:pPr>
      <w:r>
        <w:rPr>
          <w:rFonts w:hint="eastAsia"/>
          <w:sz w:val="28"/>
          <w:szCs w:val="24"/>
        </w:rPr>
        <w:t>《行政区域突发环境事件风险评估推荐方法》（环办应急〔2018〕9号）；</w:t>
      </w:r>
    </w:p>
    <w:p>
      <w:pPr>
        <w:numPr>
          <w:ilvl w:val="0"/>
          <w:numId w:val="3"/>
        </w:numPr>
        <w:spacing w:beforeLines="0" w:afterLines="0"/>
        <w:ind w:firstLine="560"/>
        <w:rPr>
          <w:rFonts w:hint="eastAsia"/>
          <w:sz w:val="28"/>
          <w:szCs w:val="24"/>
        </w:rPr>
      </w:pPr>
      <w:r>
        <w:rPr>
          <w:rFonts w:hint="eastAsia"/>
          <w:sz w:val="28"/>
          <w:szCs w:val="24"/>
        </w:rPr>
        <w:t>《集中式地表水饮用水水源地突发环境事件应急预案编制指南（试行）》（2018年第1号）；</w:t>
      </w:r>
    </w:p>
    <w:p>
      <w:pPr>
        <w:numPr>
          <w:ilvl w:val="0"/>
          <w:numId w:val="3"/>
        </w:numPr>
        <w:spacing w:beforeLines="0" w:afterLines="0"/>
        <w:ind w:firstLine="560"/>
        <w:rPr>
          <w:rFonts w:hint="eastAsia"/>
          <w:sz w:val="28"/>
          <w:szCs w:val="24"/>
        </w:rPr>
      </w:pPr>
      <w:r>
        <w:rPr>
          <w:rFonts w:hint="eastAsia"/>
          <w:sz w:val="28"/>
          <w:szCs w:val="24"/>
        </w:rPr>
        <w:t>《江西省突发环境事件应急预案》（赣府厅字〔2020〕93号）。</w:t>
      </w:r>
    </w:p>
    <w:p>
      <w:pPr>
        <w:pStyle w:val="5"/>
        <w:spacing w:beforeLines="0" w:afterLines="0"/>
        <w:rPr>
          <w:rFonts w:hint="eastAsia"/>
          <w:sz w:val="36"/>
          <w:szCs w:val="24"/>
        </w:rPr>
      </w:pPr>
      <w:bookmarkStart w:id="5" w:name="_Toc10819"/>
      <w:r>
        <w:rPr>
          <w:rFonts w:hint="eastAsia"/>
          <w:sz w:val="36"/>
          <w:szCs w:val="24"/>
        </w:rPr>
        <w:t>适用范围</w:t>
      </w:r>
      <w:bookmarkEnd w:id="5"/>
    </w:p>
    <w:p>
      <w:pPr>
        <w:spacing w:beforeLines="0" w:afterLines="0"/>
        <w:rPr>
          <w:rFonts w:hint="eastAsia"/>
          <w:sz w:val="28"/>
          <w:szCs w:val="24"/>
        </w:rPr>
      </w:pPr>
      <w:r>
        <w:rPr>
          <w:rFonts w:hint="eastAsia"/>
          <w:sz w:val="28"/>
          <w:szCs w:val="24"/>
        </w:rPr>
        <w:t>本预案适用于伦潭水库饮用水水源地因环境污染威胁或造成取水中断的突发事件的预警、控制和应急处置。饮用水进入城镇供水厂后造成的供水事故及核与辐射污染事件不在本预案范围内。</w:t>
      </w:r>
    </w:p>
    <w:p>
      <w:pPr>
        <w:pStyle w:val="6"/>
        <w:spacing w:beforeLines="0" w:afterLines="0"/>
        <w:rPr>
          <w:rFonts w:hint="eastAsia" w:eastAsia="Times New Roman"/>
          <w:sz w:val="32"/>
          <w:szCs w:val="24"/>
        </w:rPr>
      </w:pPr>
      <w:bookmarkStart w:id="6" w:name="_Toc30396"/>
      <w:r>
        <w:rPr>
          <w:rFonts w:hint="eastAsia"/>
          <w:sz w:val="32"/>
          <w:szCs w:val="24"/>
        </w:rPr>
        <w:t>空间范围</w:t>
      </w:r>
      <w:bookmarkEnd w:id="6"/>
    </w:p>
    <w:p>
      <w:pPr>
        <w:spacing w:beforeLines="0" w:afterLines="0"/>
        <w:rPr>
          <w:rFonts w:hint="eastAsia"/>
          <w:sz w:val="28"/>
          <w:szCs w:val="24"/>
        </w:rPr>
      </w:pPr>
      <w:r>
        <w:rPr>
          <w:rFonts w:hint="eastAsia"/>
          <w:sz w:val="28"/>
          <w:szCs w:val="24"/>
        </w:rPr>
        <w:t>根据生态环境部2018年3月发布的《集中式地表水饮用水水源地突发环境事件应急预案编制指南（试行）》（2018年第1号），水源地应急预案适用的地域范围包括水源保护区、水源保护区边界上游连接水体及周边汇水区域上溯24小时流程范围内的水域和分水岭内的陆域，最大不超过汇水区域的范围。</w:t>
      </w:r>
    </w:p>
    <w:p>
      <w:pPr>
        <w:spacing w:beforeLines="0" w:afterLines="0"/>
        <w:rPr>
          <w:rFonts w:hint="eastAsia"/>
          <w:sz w:val="28"/>
          <w:szCs w:val="24"/>
        </w:rPr>
      </w:pPr>
      <w:r>
        <w:rPr>
          <w:rFonts w:hint="eastAsia"/>
          <w:sz w:val="28"/>
          <w:szCs w:val="24"/>
        </w:rPr>
        <w:t>伦潭水库坝址以上流域面积242km</w:t>
      </w:r>
      <w:r>
        <w:rPr>
          <w:rFonts w:hint="eastAsia"/>
          <w:sz w:val="28"/>
          <w:szCs w:val="24"/>
          <w:vertAlign w:val="superscript"/>
        </w:rPr>
        <w:t>2</w:t>
      </w:r>
      <w:r>
        <w:rPr>
          <w:rFonts w:hint="eastAsia"/>
          <w:sz w:val="28"/>
          <w:szCs w:val="24"/>
        </w:rPr>
        <w:t>，伦潭水库饮用水水源保护区于2020年获批，保护区面积134.38km</w:t>
      </w:r>
      <w:r>
        <w:rPr>
          <w:rFonts w:hint="eastAsia"/>
          <w:sz w:val="28"/>
          <w:szCs w:val="24"/>
          <w:vertAlign w:val="superscript"/>
        </w:rPr>
        <w:t>2</w:t>
      </w:r>
      <w:r>
        <w:rPr>
          <w:rFonts w:hint="eastAsia"/>
          <w:sz w:val="28"/>
          <w:szCs w:val="24"/>
        </w:rPr>
        <w:t>，已将大部分流域划入保护区，根据水源地应急预案适用的地域范围的规定，本预案适用范围包括伦潭水库大坝的整个汇水流域。</w:t>
      </w:r>
    </w:p>
    <w:p>
      <w:pPr>
        <w:pStyle w:val="6"/>
        <w:spacing w:beforeLines="0" w:afterLines="0"/>
        <w:rPr>
          <w:rFonts w:hint="eastAsia"/>
          <w:sz w:val="32"/>
          <w:szCs w:val="24"/>
        </w:rPr>
      </w:pPr>
      <w:bookmarkStart w:id="7" w:name="_Toc19121"/>
      <w:r>
        <w:rPr>
          <w:rFonts w:hint="eastAsia"/>
          <w:sz w:val="32"/>
          <w:szCs w:val="24"/>
        </w:rPr>
        <w:t>事件范围</w:t>
      </w:r>
      <w:bookmarkEnd w:id="7"/>
    </w:p>
    <w:p>
      <w:pPr>
        <w:spacing w:beforeLines="0" w:afterLines="0"/>
        <w:rPr>
          <w:rFonts w:hint="eastAsia" w:eastAsia="Times New Roman"/>
          <w:sz w:val="28"/>
          <w:szCs w:val="24"/>
        </w:rPr>
      </w:pPr>
      <w:r>
        <w:rPr>
          <w:rFonts w:hint="eastAsia"/>
          <w:sz w:val="28"/>
          <w:szCs w:val="24"/>
        </w:rPr>
        <w:t>（1）饮用水水源地河流上游发生污水事故排放，污水污染或有可能污染伦潭水库饮用水水源地的突发事件；</w:t>
      </w:r>
    </w:p>
    <w:p>
      <w:pPr>
        <w:spacing w:beforeLines="0" w:afterLines="0"/>
        <w:rPr>
          <w:rFonts w:hint="eastAsia" w:eastAsia="Times New Roman"/>
          <w:sz w:val="28"/>
          <w:szCs w:val="24"/>
        </w:rPr>
      </w:pPr>
      <w:r>
        <w:rPr>
          <w:rFonts w:hint="eastAsia"/>
          <w:sz w:val="28"/>
          <w:szCs w:val="24"/>
        </w:rPr>
        <w:t>（2）饮用水水源地河流上游发生环境事故、安全事故或交通运输事故，导致有毒有害化学物品污染伦潭水库饮用水水源地的突发性事件；</w:t>
      </w:r>
    </w:p>
    <w:p>
      <w:pPr>
        <w:spacing w:beforeLines="0" w:afterLines="0"/>
        <w:rPr>
          <w:rFonts w:hint="eastAsia"/>
          <w:sz w:val="28"/>
          <w:szCs w:val="24"/>
        </w:rPr>
      </w:pPr>
      <w:r>
        <w:rPr>
          <w:rFonts w:hint="eastAsia"/>
          <w:sz w:val="28"/>
          <w:szCs w:val="24"/>
        </w:rPr>
        <w:t>（3）其他突发事件：如藻类爆发、干旱、洪水、季节性断流、生物性水污染及人为投毒等。</w:t>
      </w:r>
    </w:p>
    <w:p>
      <w:pPr>
        <w:pStyle w:val="5"/>
        <w:spacing w:beforeLines="0" w:afterLines="0"/>
        <w:rPr>
          <w:rFonts w:hint="eastAsia" w:eastAsia="Times New Roman"/>
          <w:sz w:val="36"/>
          <w:szCs w:val="24"/>
        </w:rPr>
      </w:pPr>
      <w:bookmarkStart w:id="8" w:name="_Toc2852"/>
      <w:r>
        <w:rPr>
          <w:rFonts w:hint="eastAsia"/>
          <w:sz w:val="36"/>
          <w:szCs w:val="24"/>
        </w:rPr>
        <w:t>事件分级</w:t>
      </w:r>
      <w:bookmarkEnd w:id="8"/>
    </w:p>
    <w:p>
      <w:pPr>
        <w:spacing w:beforeLines="0" w:afterLines="0"/>
        <w:rPr>
          <w:rFonts w:hint="eastAsia" w:eastAsia="Times New Roman"/>
          <w:sz w:val="28"/>
          <w:szCs w:val="24"/>
        </w:rPr>
      </w:pPr>
      <w:r>
        <w:rPr>
          <w:rFonts w:hint="eastAsia"/>
          <w:sz w:val="28"/>
          <w:szCs w:val="24"/>
        </w:rPr>
        <w:t>本预案与《上饶市饮用水水源突发环境事件应急预案》衔接，总体服从《上饶市饮用水水源突发环境事件应急预案》中对突发环境事件的分级原则。依据伦潭水库饮用水水源地突发环境事件的严重性和紧急程度，将伦潭水库饮用水水源地突发环境事件分为特别重大饮用水源突发环境事件（</w:t>
      </w:r>
      <w:r>
        <w:rPr>
          <w:rFonts w:hint="eastAsia" w:ascii="楷体" w:hAnsi="楷体"/>
          <w:sz w:val="28"/>
          <w:szCs w:val="24"/>
        </w:rPr>
        <w:t>Ⅰ</w:t>
      </w:r>
      <w:r>
        <w:rPr>
          <w:rFonts w:hint="eastAsia"/>
          <w:sz w:val="28"/>
          <w:szCs w:val="24"/>
        </w:rPr>
        <w:t>级）</w:t>
      </w:r>
      <w:r>
        <w:rPr>
          <w:rFonts w:hint="eastAsia" w:ascii="楷体" w:hAnsi="楷体"/>
          <w:sz w:val="28"/>
          <w:szCs w:val="24"/>
        </w:rPr>
        <w:t>和重大饮用水源突发环境事件（Ⅱ级）、较大饮用水源突发环境事件（Ⅲ级）和一般饮用水源突发环境事件（Ⅳ级）</w:t>
      </w:r>
      <w:r>
        <w:rPr>
          <w:rFonts w:hint="eastAsia"/>
          <w:sz w:val="28"/>
          <w:szCs w:val="24"/>
        </w:rPr>
        <w:t>四级。</w:t>
      </w:r>
    </w:p>
    <w:p>
      <w:pPr>
        <w:spacing w:beforeLines="0" w:afterLines="0"/>
        <w:rPr>
          <w:rFonts w:hint="eastAsia" w:eastAsia="Times New Roman"/>
          <w:sz w:val="28"/>
          <w:szCs w:val="24"/>
        </w:rPr>
      </w:pPr>
      <w:r>
        <w:rPr>
          <w:rFonts w:hint="eastAsia"/>
          <w:sz w:val="28"/>
          <w:szCs w:val="24"/>
        </w:rPr>
        <w:t>（1）特别重大饮用水源突发环境事件（</w:t>
      </w:r>
      <w:r>
        <w:rPr>
          <w:rFonts w:hint="eastAsia" w:ascii="楷体" w:hAnsi="楷体"/>
          <w:sz w:val="28"/>
          <w:szCs w:val="24"/>
        </w:rPr>
        <w:t>Ⅰ</w:t>
      </w:r>
      <w:r>
        <w:rPr>
          <w:rFonts w:hint="eastAsia"/>
          <w:sz w:val="28"/>
          <w:szCs w:val="24"/>
        </w:rPr>
        <w:t>级）：</w:t>
      </w:r>
    </w:p>
    <w:p>
      <w:pPr>
        <w:spacing w:beforeLines="0" w:afterLines="0"/>
        <w:rPr>
          <w:rFonts w:hint="eastAsia" w:ascii="楷体" w:hAnsi="楷体"/>
          <w:sz w:val="28"/>
          <w:szCs w:val="24"/>
        </w:rPr>
      </w:pPr>
      <w:r>
        <w:rPr>
          <w:rFonts w:hint="eastAsia" w:ascii="楷体" w:hAnsi="楷体"/>
          <w:sz w:val="28"/>
          <w:szCs w:val="24"/>
        </w:rPr>
        <w:t>①因饮用水水源地水质污染直接导致30人以上死亡或100人以上中毒的；</w:t>
      </w:r>
    </w:p>
    <w:p>
      <w:pPr>
        <w:spacing w:beforeLines="0" w:afterLines="0"/>
        <w:rPr>
          <w:rFonts w:hint="eastAsia" w:ascii="楷体" w:hAnsi="楷体"/>
          <w:sz w:val="28"/>
          <w:szCs w:val="24"/>
        </w:rPr>
      </w:pPr>
      <w:r>
        <w:rPr>
          <w:rFonts w:hint="eastAsia" w:ascii="楷体" w:hAnsi="楷体"/>
          <w:sz w:val="28"/>
          <w:szCs w:val="24"/>
        </w:rPr>
        <w:t>②因环境污染造成设区的市级以上城市集中式饮用水水源地取水中断的；</w:t>
      </w:r>
    </w:p>
    <w:p>
      <w:pPr>
        <w:spacing w:beforeLines="0" w:afterLines="0"/>
        <w:rPr>
          <w:rFonts w:hint="eastAsia" w:eastAsia="Times New Roman"/>
          <w:sz w:val="28"/>
          <w:szCs w:val="24"/>
        </w:rPr>
      </w:pPr>
      <w:r>
        <w:rPr>
          <w:rFonts w:hint="eastAsia" w:ascii="楷体" w:hAnsi="楷体"/>
          <w:sz w:val="28"/>
          <w:szCs w:val="24"/>
        </w:rPr>
        <w:t>③因饮用水水源地水质污染造成直接经济损失1亿元以上的。</w:t>
      </w:r>
    </w:p>
    <w:p>
      <w:pPr>
        <w:spacing w:beforeLines="0" w:afterLines="0"/>
        <w:rPr>
          <w:rFonts w:hint="eastAsia" w:eastAsia="Times New Roman"/>
          <w:sz w:val="28"/>
          <w:szCs w:val="24"/>
        </w:rPr>
      </w:pPr>
      <w:r>
        <w:rPr>
          <w:rFonts w:hint="eastAsia"/>
          <w:sz w:val="28"/>
          <w:szCs w:val="24"/>
        </w:rPr>
        <w:t>（2）重大饮用水源突发环境事件（</w:t>
      </w:r>
      <w:r>
        <w:rPr>
          <w:rFonts w:hint="eastAsia" w:ascii="楷体" w:hAnsi="楷体"/>
          <w:sz w:val="28"/>
          <w:szCs w:val="24"/>
        </w:rPr>
        <w:t>Ⅱ</w:t>
      </w:r>
      <w:r>
        <w:rPr>
          <w:rFonts w:hint="eastAsia"/>
          <w:sz w:val="28"/>
          <w:szCs w:val="24"/>
        </w:rPr>
        <w:t>级）：</w:t>
      </w:r>
    </w:p>
    <w:p>
      <w:pPr>
        <w:spacing w:beforeLines="0" w:afterLines="0"/>
        <w:rPr>
          <w:rFonts w:hint="eastAsia" w:eastAsia="Times New Roman"/>
          <w:sz w:val="28"/>
          <w:szCs w:val="24"/>
        </w:rPr>
      </w:pPr>
      <w:r>
        <w:rPr>
          <w:rFonts w:hint="eastAsia" w:ascii="楷体" w:hAnsi="楷体"/>
          <w:sz w:val="28"/>
          <w:szCs w:val="24"/>
        </w:rPr>
        <w:t>①</w:t>
      </w:r>
      <w:r>
        <w:rPr>
          <w:rFonts w:hint="eastAsia"/>
          <w:sz w:val="28"/>
          <w:szCs w:val="24"/>
        </w:rPr>
        <w:t>因饮用水水源地水质污染直接导致10人以上30人以下死亡或50人以上100人以下中毒的；</w:t>
      </w:r>
    </w:p>
    <w:p>
      <w:pPr>
        <w:spacing w:beforeLines="0" w:afterLines="0"/>
        <w:rPr>
          <w:rFonts w:hint="eastAsia" w:eastAsia="Times New Roman"/>
          <w:sz w:val="28"/>
          <w:szCs w:val="24"/>
        </w:rPr>
      </w:pPr>
      <w:r>
        <w:rPr>
          <w:rFonts w:hint="eastAsia" w:ascii="楷体" w:hAnsi="楷体"/>
          <w:sz w:val="28"/>
          <w:szCs w:val="24"/>
        </w:rPr>
        <w:t>②</w:t>
      </w:r>
      <w:r>
        <w:rPr>
          <w:rFonts w:hint="eastAsia"/>
          <w:sz w:val="28"/>
          <w:szCs w:val="24"/>
        </w:rPr>
        <w:t>因环境污染造成县级城市集中式饮用水源地取水中断的；</w:t>
      </w:r>
    </w:p>
    <w:p>
      <w:pPr>
        <w:spacing w:beforeLines="0" w:afterLines="0"/>
        <w:rPr>
          <w:rFonts w:hint="eastAsia" w:eastAsia="Times New Roman"/>
          <w:sz w:val="28"/>
          <w:szCs w:val="24"/>
        </w:rPr>
      </w:pPr>
      <w:r>
        <w:rPr>
          <w:rFonts w:hint="eastAsia" w:ascii="楷体" w:hAnsi="楷体"/>
          <w:sz w:val="28"/>
          <w:szCs w:val="24"/>
        </w:rPr>
        <w:t>③</w:t>
      </w:r>
      <w:r>
        <w:rPr>
          <w:rFonts w:hint="eastAsia"/>
          <w:sz w:val="28"/>
          <w:szCs w:val="24"/>
        </w:rPr>
        <w:t>因饮用水水源地水质污染造成直接经济损失2000万元以上1亿元以下的。</w:t>
      </w:r>
    </w:p>
    <w:p>
      <w:pPr>
        <w:spacing w:beforeLines="0" w:afterLines="0"/>
        <w:rPr>
          <w:rFonts w:hint="eastAsia" w:eastAsia="Times New Roman"/>
          <w:sz w:val="28"/>
          <w:szCs w:val="24"/>
        </w:rPr>
      </w:pPr>
      <w:r>
        <w:rPr>
          <w:rFonts w:hint="eastAsia"/>
          <w:sz w:val="28"/>
          <w:szCs w:val="24"/>
        </w:rPr>
        <w:t>（3）较大饮用水源突发环境事件（</w:t>
      </w:r>
      <w:r>
        <w:rPr>
          <w:rFonts w:hint="eastAsia" w:ascii="楷体" w:hAnsi="楷体"/>
          <w:sz w:val="28"/>
          <w:szCs w:val="24"/>
        </w:rPr>
        <w:t>Ⅲ</w:t>
      </w:r>
      <w:r>
        <w:rPr>
          <w:rFonts w:hint="eastAsia"/>
          <w:sz w:val="28"/>
          <w:szCs w:val="24"/>
        </w:rPr>
        <w:t>级）：</w:t>
      </w:r>
    </w:p>
    <w:p>
      <w:pPr>
        <w:spacing w:beforeLines="0" w:afterLines="0"/>
        <w:rPr>
          <w:rFonts w:hint="eastAsia" w:eastAsia="Times New Roman"/>
          <w:sz w:val="28"/>
          <w:szCs w:val="24"/>
        </w:rPr>
      </w:pPr>
      <w:r>
        <w:rPr>
          <w:rFonts w:hint="eastAsia" w:ascii="楷体" w:hAnsi="楷体"/>
          <w:sz w:val="28"/>
          <w:szCs w:val="24"/>
        </w:rPr>
        <w:t>①</w:t>
      </w:r>
      <w:r>
        <w:rPr>
          <w:rFonts w:hint="eastAsia"/>
          <w:sz w:val="28"/>
          <w:szCs w:val="24"/>
        </w:rPr>
        <w:t>因饮用水水源地水质污染直接导致3人以上10人以下死亡或10人以上50人以下中毒的；</w:t>
      </w:r>
    </w:p>
    <w:p>
      <w:pPr>
        <w:spacing w:beforeLines="0" w:afterLines="0"/>
        <w:rPr>
          <w:rFonts w:hint="eastAsia" w:eastAsia="Times New Roman"/>
          <w:sz w:val="28"/>
          <w:szCs w:val="24"/>
        </w:rPr>
      </w:pPr>
      <w:r>
        <w:rPr>
          <w:rFonts w:hint="eastAsia" w:ascii="楷体" w:hAnsi="楷体"/>
          <w:sz w:val="28"/>
          <w:szCs w:val="24"/>
        </w:rPr>
        <w:t>②</w:t>
      </w:r>
      <w:r>
        <w:rPr>
          <w:rFonts w:hint="eastAsia"/>
          <w:sz w:val="28"/>
          <w:szCs w:val="24"/>
        </w:rPr>
        <w:t>因环境污染造成乡镇集中式饮用水水源地取水中断的；</w:t>
      </w:r>
    </w:p>
    <w:p>
      <w:pPr>
        <w:spacing w:beforeLines="0" w:afterLines="0"/>
        <w:rPr>
          <w:rFonts w:hint="eastAsia"/>
          <w:sz w:val="28"/>
          <w:szCs w:val="24"/>
        </w:rPr>
      </w:pPr>
      <w:r>
        <w:rPr>
          <w:rFonts w:hint="eastAsia" w:ascii="楷体" w:hAnsi="楷体"/>
          <w:sz w:val="28"/>
          <w:szCs w:val="24"/>
        </w:rPr>
        <w:t>③</w:t>
      </w:r>
      <w:r>
        <w:rPr>
          <w:rFonts w:hint="eastAsia"/>
          <w:sz w:val="28"/>
          <w:szCs w:val="24"/>
        </w:rPr>
        <w:t>因饮用水水源地水质污染造成直接经济损失500万元以上2000万元以下的；</w:t>
      </w:r>
    </w:p>
    <w:p>
      <w:pPr>
        <w:spacing w:beforeLines="0" w:afterLines="0"/>
        <w:rPr>
          <w:rFonts w:hint="eastAsia"/>
          <w:sz w:val="28"/>
          <w:szCs w:val="24"/>
        </w:rPr>
      </w:pPr>
      <w:r>
        <w:rPr>
          <w:rFonts w:hint="eastAsia" w:ascii="楷体" w:hAnsi="楷体"/>
          <w:sz w:val="28"/>
          <w:szCs w:val="24"/>
        </w:rPr>
        <w:t>④饮用水水源地跨地市界的突发环境事件。</w:t>
      </w:r>
    </w:p>
    <w:p>
      <w:pPr>
        <w:spacing w:beforeLines="0" w:afterLines="0"/>
        <w:rPr>
          <w:rFonts w:hint="eastAsia" w:eastAsia="Times New Roman"/>
          <w:sz w:val="28"/>
          <w:szCs w:val="24"/>
        </w:rPr>
      </w:pPr>
      <w:r>
        <w:rPr>
          <w:rFonts w:hint="eastAsia"/>
          <w:sz w:val="28"/>
          <w:szCs w:val="24"/>
        </w:rPr>
        <w:t>（4）一般饮用水源突发环境事件（</w:t>
      </w:r>
      <w:r>
        <w:rPr>
          <w:rFonts w:hint="eastAsia" w:ascii="楷体" w:hAnsi="楷体"/>
          <w:sz w:val="28"/>
          <w:szCs w:val="24"/>
        </w:rPr>
        <w:t>Ⅳ</w:t>
      </w:r>
      <w:r>
        <w:rPr>
          <w:rFonts w:hint="eastAsia"/>
          <w:sz w:val="28"/>
          <w:szCs w:val="24"/>
        </w:rPr>
        <w:t>级）：</w:t>
      </w:r>
    </w:p>
    <w:p>
      <w:pPr>
        <w:spacing w:beforeLines="0" w:afterLines="0"/>
        <w:rPr>
          <w:rFonts w:hint="eastAsia" w:eastAsia="Times New Roman"/>
          <w:sz w:val="28"/>
          <w:szCs w:val="24"/>
        </w:rPr>
      </w:pPr>
      <w:r>
        <w:rPr>
          <w:rFonts w:hint="eastAsia" w:ascii="楷体" w:hAnsi="楷体"/>
          <w:sz w:val="28"/>
          <w:szCs w:val="24"/>
        </w:rPr>
        <w:t>①</w:t>
      </w:r>
      <w:r>
        <w:rPr>
          <w:rFonts w:hint="eastAsia"/>
          <w:sz w:val="28"/>
          <w:szCs w:val="24"/>
        </w:rPr>
        <w:t>因饮用水水源地水质污染直接导致3人以下死亡或10人以下中毒的；</w:t>
      </w:r>
    </w:p>
    <w:p>
      <w:pPr>
        <w:spacing w:beforeLines="0" w:afterLines="0"/>
        <w:rPr>
          <w:rFonts w:hint="eastAsia" w:eastAsia="Times New Roman"/>
          <w:sz w:val="28"/>
          <w:szCs w:val="24"/>
        </w:rPr>
      </w:pPr>
      <w:r>
        <w:rPr>
          <w:rFonts w:hint="eastAsia" w:ascii="楷体" w:hAnsi="楷体"/>
          <w:sz w:val="28"/>
          <w:szCs w:val="24"/>
        </w:rPr>
        <w:t>②</w:t>
      </w:r>
      <w:r>
        <w:rPr>
          <w:rFonts w:hint="eastAsia"/>
          <w:sz w:val="28"/>
          <w:szCs w:val="24"/>
        </w:rPr>
        <w:t>因饮用水水源地水质污染造成直接经济损失500万元以下的；</w:t>
      </w:r>
    </w:p>
    <w:p>
      <w:pPr>
        <w:spacing w:beforeLines="0" w:afterLines="0"/>
        <w:rPr>
          <w:rFonts w:hint="eastAsia" w:eastAsia="Times New Roman"/>
          <w:sz w:val="28"/>
          <w:szCs w:val="24"/>
        </w:rPr>
      </w:pPr>
      <w:r>
        <w:rPr>
          <w:rFonts w:hint="eastAsia" w:ascii="楷体" w:hAnsi="楷体"/>
          <w:sz w:val="28"/>
          <w:szCs w:val="24"/>
        </w:rPr>
        <w:t>③</w:t>
      </w:r>
      <w:r>
        <w:rPr>
          <w:rFonts w:hint="eastAsia"/>
          <w:sz w:val="28"/>
          <w:szCs w:val="24"/>
        </w:rPr>
        <w:t>对饮用水水源地水质造成一定影响，尚未达到较大突发环境事件级别的。</w:t>
      </w:r>
    </w:p>
    <w:p>
      <w:pPr>
        <w:pStyle w:val="5"/>
        <w:spacing w:beforeLines="0" w:afterLines="0"/>
        <w:rPr>
          <w:rFonts w:hint="eastAsia"/>
          <w:sz w:val="36"/>
          <w:szCs w:val="24"/>
        </w:rPr>
      </w:pPr>
      <w:bookmarkStart w:id="9" w:name="_Toc7047"/>
      <w:r>
        <w:rPr>
          <w:rFonts w:hint="eastAsia"/>
          <w:sz w:val="36"/>
          <w:szCs w:val="24"/>
        </w:rPr>
        <w:t>预案衔接</w:t>
      </w:r>
      <w:bookmarkEnd w:id="9"/>
    </w:p>
    <w:p>
      <w:pPr>
        <w:pStyle w:val="6"/>
        <w:spacing w:beforeLines="0" w:afterLines="0"/>
        <w:rPr>
          <w:rFonts w:hint="eastAsia"/>
          <w:sz w:val="32"/>
          <w:szCs w:val="24"/>
        </w:rPr>
      </w:pPr>
      <w:bookmarkStart w:id="10" w:name="_Toc8478"/>
      <w:r>
        <w:rPr>
          <w:rFonts w:hint="eastAsia"/>
          <w:sz w:val="32"/>
          <w:szCs w:val="24"/>
        </w:rPr>
        <w:t>应急预案管理体系</w:t>
      </w:r>
      <w:bookmarkEnd w:id="10"/>
    </w:p>
    <w:p>
      <w:pPr>
        <w:spacing w:beforeLines="0" w:afterLines="0"/>
        <w:rPr>
          <w:rFonts w:hint="eastAsia"/>
          <w:sz w:val="28"/>
          <w:szCs w:val="24"/>
        </w:rPr>
      </w:pPr>
      <w:r>
        <w:rPr>
          <w:rFonts w:hint="eastAsia"/>
          <w:sz w:val="28"/>
          <w:szCs w:val="24"/>
        </w:rPr>
        <w:t>根据《突发事件应急预案管理办法》（国办发〔2013〕101 号）第六条：应急预案按照制定主体划分，分为政府及其部门应急预案、单位和基层组织应急预案两大类。第七条：政府及其部门应急预案由各级人民政府及其部门制定，包括总体应急预案、专项应急预案、部门应急预案等。</w:t>
      </w:r>
    </w:p>
    <w:p>
      <w:pPr>
        <w:spacing w:beforeLines="0" w:afterLines="0"/>
        <w:rPr>
          <w:rFonts w:hint="eastAsia"/>
          <w:sz w:val="28"/>
          <w:szCs w:val="24"/>
        </w:rPr>
      </w:pPr>
      <w:r>
        <w:rPr>
          <w:rFonts w:hint="eastAsia"/>
          <w:sz w:val="28"/>
          <w:szCs w:val="24"/>
        </w:rPr>
        <w:t>总体应急预案是应急预案体系的总纲，是政府组织应对突发事件的总体制度安排，由县级以上各级人民政府制定。</w:t>
      </w:r>
    </w:p>
    <w:p>
      <w:pPr>
        <w:spacing w:beforeLines="0" w:afterLines="0"/>
        <w:rPr>
          <w:rFonts w:hint="eastAsia"/>
          <w:sz w:val="28"/>
          <w:szCs w:val="24"/>
        </w:rPr>
      </w:pPr>
      <w:r>
        <w:rPr>
          <w:rFonts w:hint="eastAsia"/>
          <w:sz w:val="28"/>
          <w:szCs w:val="24"/>
        </w:rPr>
        <w:t>专项应急预案是政府为应对某一类型或某几种类型突发事件，或者针对重要目标物保护、重大活动保障、应急资源保障等重要专项工作而预先制定的涉及多个部门职责的工作方案，由有关部门牵头制订，报本级人民政府批准后印发实施。</w:t>
      </w:r>
    </w:p>
    <w:p>
      <w:pPr>
        <w:spacing w:beforeLines="0" w:afterLines="0"/>
        <w:rPr>
          <w:rFonts w:hint="eastAsia"/>
          <w:sz w:val="28"/>
          <w:szCs w:val="24"/>
        </w:rPr>
      </w:pPr>
      <w:r>
        <w:rPr>
          <w:rFonts w:hint="eastAsia"/>
          <w:sz w:val="28"/>
          <w:szCs w:val="24"/>
        </w:rPr>
        <w:t>部门应急预案是政府有关部门根据总体应急预案、专项应急预案和部门职责，为应对本部门（行业、领域）突发事件，或者针对重要目标物保护、重大活动保障、应急资源保障等涉及部门工作而预先制定的工作方案，由各级政府有关部门制定。</w:t>
      </w:r>
    </w:p>
    <w:p>
      <w:pPr>
        <w:spacing w:beforeLines="0" w:afterLines="0"/>
        <w:rPr>
          <w:rFonts w:hint="eastAsia"/>
          <w:sz w:val="28"/>
          <w:szCs w:val="24"/>
        </w:rPr>
      </w:pPr>
      <w:r>
        <w:rPr>
          <w:rFonts w:hint="eastAsia"/>
          <w:sz w:val="28"/>
          <w:szCs w:val="24"/>
        </w:rPr>
        <w:t>铅山县突发环境事件应急预案体系由县级突发环境事件应急预案、工业园区突发环境事件应急预案、部门突发环境事件应急预案、企事业单位突发环境事件应急预案等四大类组成。</w:t>
      </w:r>
    </w:p>
    <w:p>
      <w:pPr>
        <w:spacing w:beforeLines="0" w:afterLines="0"/>
        <w:rPr>
          <w:rFonts w:hint="eastAsia"/>
          <w:sz w:val="28"/>
          <w:szCs w:val="24"/>
        </w:rPr>
      </w:pPr>
      <w:r>
        <w:rPr>
          <w:rFonts w:hint="eastAsia"/>
          <w:sz w:val="28"/>
          <w:szCs w:val="24"/>
        </w:rPr>
        <w:t>（1）县级突发环境事件应急预案。包括总体预案《铅山县突发环境事件应急预案》，专项预案、部门预案等。《铅山县突发环境事件应急预案》是全县预防和处置突发环境事件的指导性文件。各有关部门（单位）应结合自身职责，制定本部门环境应急预案。《铅山县县级集中式饮用水水源地突发环境事件应急预案》和事故灾难类其他涉环境的预案为专项应急预案。</w:t>
      </w:r>
    </w:p>
    <w:p>
      <w:pPr>
        <w:spacing w:beforeLines="0" w:afterLines="0"/>
        <w:rPr>
          <w:rFonts w:hint="eastAsia"/>
          <w:sz w:val="28"/>
          <w:szCs w:val="24"/>
        </w:rPr>
      </w:pPr>
      <w:r>
        <w:rPr>
          <w:rFonts w:hint="eastAsia"/>
          <w:sz w:val="28"/>
          <w:szCs w:val="24"/>
        </w:rPr>
        <w:t>（2）工业园区突发环境事件应急预案。工业园区突发环境事件应急预案是工业园区管委会的专项应急预案，是工业园区预防和处置突发环境事件的指导性文件。</w:t>
      </w:r>
    </w:p>
    <w:p>
      <w:pPr>
        <w:spacing w:beforeLines="0" w:afterLines="0"/>
        <w:rPr>
          <w:rFonts w:hint="eastAsia"/>
          <w:sz w:val="28"/>
          <w:szCs w:val="24"/>
        </w:rPr>
      </w:pPr>
      <w:r>
        <w:rPr>
          <w:rFonts w:hint="eastAsia"/>
          <w:sz w:val="28"/>
          <w:szCs w:val="24"/>
        </w:rPr>
        <w:t>工业园区应急预案体系应包括工业园区突发环境事件应急预案、其他涉环境专项应急预案及部门环境应急预案等。目前铅山县已制定的工业园区突发环境事件应急预案有《铅山县工业园区突发环境事件应急预案》，作为《铅山县突发环境事件应急预案》的子预案。</w:t>
      </w:r>
    </w:p>
    <w:p>
      <w:pPr>
        <w:spacing w:beforeLines="0" w:afterLines="0"/>
        <w:rPr>
          <w:rFonts w:hint="eastAsia"/>
          <w:sz w:val="28"/>
          <w:szCs w:val="24"/>
        </w:rPr>
      </w:pPr>
      <w:r>
        <w:rPr>
          <w:rFonts w:hint="eastAsia"/>
          <w:sz w:val="28"/>
          <w:szCs w:val="24"/>
        </w:rPr>
        <w:t>（3）企事业单位突发环境事件应急预案。企事业单位环境应急预案是企事业单位根据有关法律法规和规章，结合本单位实际制定的应急预案。</w:t>
      </w:r>
    </w:p>
    <w:p>
      <w:pPr>
        <w:spacing w:beforeLines="0" w:afterLines="0"/>
        <w:rPr>
          <w:rFonts w:hint="eastAsia"/>
          <w:sz w:val="28"/>
          <w:szCs w:val="24"/>
        </w:rPr>
      </w:pPr>
      <w:r>
        <w:rPr>
          <w:rFonts w:hint="eastAsia"/>
          <w:sz w:val="28"/>
          <w:szCs w:val="24"/>
        </w:rPr>
        <w:t>本预案仅针对伦潭水库水源地突发环境事件，属于国办发〔2013〕101 号文规定的专项应急预案，其在铅山县应急预案体系中的定位如下图所示。</w:t>
      </w:r>
    </w:p>
    <w:p>
      <w:pPr>
        <w:pStyle w:val="9"/>
        <w:spacing w:beforeLines="0" w:afterLines="0"/>
        <w:rPr>
          <w:rFonts w:hint="eastAsia"/>
          <w:sz w:val="21"/>
          <w:szCs w:val="24"/>
        </w:rPr>
      </w:pPr>
      <w:r>
        <w:rPr>
          <w:rFonts w:hint="default"/>
          <w:sz w:val="21"/>
          <w:szCs w:val="24"/>
        </w:rPr>
        <w:drawing>
          <wp:inline distT="0" distB="0" distL="114300" distR="114300">
            <wp:extent cx="5251450" cy="3194050"/>
            <wp:effectExtent l="0" t="0" r="6350" b="6350"/>
            <wp:docPr id="5" name="图片 1" descr="未命名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未命名绘图"/>
                    <pic:cNvPicPr>
                      <a:picLocks noChangeAspect="1"/>
                    </pic:cNvPicPr>
                  </pic:nvPicPr>
                  <pic:blipFill>
                    <a:blip r:embed="rId12"/>
                    <a:stretch>
                      <a:fillRect/>
                    </a:stretch>
                  </pic:blipFill>
                  <pic:spPr>
                    <a:xfrm>
                      <a:off x="0" y="0"/>
                      <a:ext cx="5251450" cy="3194050"/>
                    </a:xfrm>
                    <a:prstGeom prst="rect">
                      <a:avLst/>
                    </a:prstGeom>
                    <a:noFill/>
                    <a:ln>
                      <a:noFill/>
                    </a:ln>
                  </pic:spPr>
                </pic:pic>
              </a:graphicData>
            </a:graphic>
          </wp:inline>
        </w:drawing>
      </w:r>
    </w:p>
    <w:p>
      <w:pPr>
        <w:pStyle w:val="9"/>
        <w:spacing w:beforeLines="0" w:afterLines="0"/>
        <w:rPr>
          <w:rFonts w:hint="eastAsia" w:eastAsia="Times New Roman"/>
          <w:sz w:val="21"/>
          <w:szCs w:val="24"/>
        </w:rPr>
      </w:pPr>
      <w:r>
        <w:rPr>
          <w:rFonts w:hint="eastAsia"/>
          <w:sz w:val="21"/>
          <w:szCs w:val="24"/>
        </w:rPr>
        <w:t xml:space="preserve">图 </w:t>
      </w:r>
      <w:r>
        <w:rPr>
          <w:rFonts w:hint="eastAsia"/>
          <w:sz w:val="21"/>
          <w:szCs w:val="24"/>
        </w:rPr>
        <w:fldChar w:fldCharType="begin"/>
      </w:r>
      <w:r>
        <w:rPr>
          <w:rFonts w:hint="eastAsia"/>
          <w:sz w:val="21"/>
          <w:szCs w:val="24"/>
        </w:rPr>
        <w:instrText xml:space="preserve"> STYLEREF 1 \s </w:instrText>
      </w:r>
      <w:r>
        <w:rPr>
          <w:rFonts w:hint="eastAsia"/>
          <w:sz w:val="21"/>
          <w:szCs w:val="24"/>
        </w:rPr>
        <w:fldChar w:fldCharType="separate"/>
      </w:r>
      <w:r>
        <w:rPr>
          <w:rFonts w:hint="eastAsia"/>
          <w:sz w:val="21"/>
          <w:szCs w:val="24"/>
        </w:rPr>
        <w:t>1</w:t>
      </w:r>
      <w:r>
        <w:rPr>
          <w:rFonts w:hint="eastAsia"/>
          <w:sz w:val="21"/>
          <w:szCs w:val="24"/>
        </w:rPr>
        <w:fldChar w:fldCharType="end"/>
      </w:r>
      <w:r>
        <w:rPr>
          <w:rFonts w:hint="eastAsia"/>
          <w:sz w:val="21"/>
          <w:szCs w:val="24"/>
        </w:rPr>
        <w:t>.</w:t>
      </w:r>
      <w:r>
        <w:rPr>
          <w:rFonts w:hint="eastAsia"/>
          <w:sz w:val="21"/>
          <w:szCs w:val="24"/>
        </w:rPr>
        <w:fldChar w:fldCharType="begin"/>
      </w:r>
      <w:r>
        <w:rPr>
          <w:rFonts w:hint="eastAsia"/>
          <w:sz w:val="21"/>
          <w:szCs w:val="24"/>
        </w:rPr>
        <w:instrText xml:space="preserve"> SEQ 图 \* ARABIC \s 1 </w:instrText>
      </w:r>
      <w:r>
        <w:rPr>
          <w:rFonts w:hint="eastAsia"/>
          <w:sz w:val="21"/>
          <w:szCs w:val="24"/>
        </w:rPr>
        <w:fldChar w:fldCharType="separate"/>
      </w:r>
      <w:r>
        <w:rPr>
          <w:rFonts w:hint="eastAsia"/>
          <w:sz w:val="21"/>
          <w:szCs w:val="24"/>
        </w:rPr>
        <w:t>1</w:t>
      </w:r>
      <w:r>
        <w:rPr>
          <w:rFonts w:hint="eastAsia"/>
          <w:sz w:val="21"/>
          <w:szCs w:val="24"/>
        </w:rPr>
        <w:fldChar w:fldCharType="end"/>
      </w:r>
      <w:r>
        <w:rPr>
          <w:rFonts w:hint="eastAsia"/>
          <w:sz w:val="21"/>
          <w:szCs w:val="24"/>
        </w:rPr>
        <w:t xml:space="preserve">  铅山县应急预案体系图</w:t>
      </w:r>
    </w:p>
    <w:p>
      <w:pPr>
        <w:pStyle w:val="6"/>
        <w:spacing w:beforeLines="0" w:afterLines="0"/>
        <w:rPr>
          <w:rFonts w:hint="eastAsia"/>
          <w:sz w:val="32"/>
          <w:szCs w:val="24"/>
        </w:rPr>
      </w:pPr>
      <w:bookmarkStart w:id="11" w:name="_Toc10308"/>
      <w:r>
        <w:rPr>
          <w:rFonts w:hint="eastAsia"/>
          <w:sz w:val="32"/>
          <w:szCs w:val="24"/>
        </w:rPr>
        <w:t>外部应急预案关联</w:t>
      </w:r>
      <w:bookmarkEnd w:id="11"/>
    </w:p>
    <w:p>
      <w:pPr>
        <w:spacing w:beforeLines="0" w:afterLines="0"/>
        <w:rPr>
          <w:rFonts w:hint="eastAsia"/>
          <w:sz w:val="28"/>
          <w:szCs w:val="24"/>
        </w:rPr>
      </w:pPr>
      <w:r>
        <w:rPr>
          <w:rFonts w:hint="eastAsia"/>
          <w:sz w:val="28"/>
          <w:szCs w:val="24"/>
        </w:rPr>
        <w:t>（1）与《铅山县突发环境事件应急预案》的衔接。《铅山县突发环境事件应急预案》适用于铅山县行政区域内突发环境事件，以及人民政府和生态环境主管部门认定的其他突发环境事件的应对工作。</w:t>
      </w:r>
    </w:p>
    <w:p>
      <w:pPr>
        <w:spacing w:beforeLines="0" w:afterLines="0"/>
        <w:rPr>
          <w:rFonts w:hint="eastAsia"/>
          <w:sz w:val="28"/>
          <w:szCs w:val="24"/>
        </w:rPr>
      </w:pPr>
      <w:r>
        <w:rPr>
          <w:rFonts w:hint="eastAsia"/>
          <w:sz w:val="28"/>
          <w:szCs w:val="24"/>
        </w:rPr>
        <w:t>本应急预案为《铅山县突发环境事件应急预案》下的专项预案，应急组织机构、人员配置、物资储备等均服从《铅山县突发环境事件应急预案》相关要求。当伦潭水库水源地发生突发环境事件，启动本应急预案时，还应同步启动《铅山县突发环境事件应急预案》。</w:t>
      </w:r>
    </w:p>
    <w:p>
      <w:pPr>
        <w:spacing w:beforeLines="0" w:afterLines="0"/>
        <w:rPr>
          <w:rFonts w:hint="eastAsia"/>
          <w:sz w:val="28"/>
          <w:szCs w:val="24"/>
        </w:rPr>
      </w:pPr>
      <w:r>
        <w:rPr>
          <w:rFonts w:hint="eastAsia"/>
          <w:sz w:val="28"/>
          <w:szCs w:val="24"/>
        </w:rPr>
        <w:t>（2）与《上饶市饮用水水源突发环境事件应急预案》的衔接。《上饶市饮用水水源突发环境事件应急预案》指导全市饮用水水源的应急工作，本应急预案为《上饶市饮用水水源突发环境事件应急预案》的子预案，应急组织机构、人员配置、物资储备等均服从《上饶市饮用水水源突发环境事件应急预案》相关要求。当伦潭水库水源地发生突发环境事件，启动本应急预案时，还应同步启动《上饶市饮用水水源突发环境事件应急预案》。</w:t>
      </w:r>
    </w:p>
    <w:p>
      <w:pPr>
        <w:spacing w:beforeLines="0" w:afterLines="0"/>
        <w:rPr>
          <w:rFonts w:hint="eastAsia"/>
          <w:sz w:val="28"/>
          <w:szCs w:val="24"/>
        </w:rPr>
      </w:pPr>
      <w:r>
        <w:rPr>
          <w:rFonts w:hint="eastAsia"/>
          <w:sz w:val="28"/>
          <w:szCs w:val="24"/>
        </w:rPr>
        <w:t>（3）与《铅山县自来水厂突发环境事件应急预案》的衔接。当伦潭水库水源地发生突发环境事件时，应及时通知铅山县银龙水务有限公司负责人，同步启动《铅山县自来水厂突发环境事件应急预案》，做好应急联动，保障用水安全。</w:t>
      </w:r>
    </w:p>
    <w:p>
      <w:pPr>
        <w:pStyle w:val="5"/>
        <w:spacing w:beforeLines="0" w:afterLines="0"/>
        <w:rPr>
          <w:rFonts w:hint="eastAsia"/>
          <w:sz w:val="36"/>
          <w:szCs w:val="24"/>
        </w:rPr>
      </w:pPr>
      <w:bookmarkStart w:id="12" w:name="_Toc22142"/>
      <w:r>
        <w:rPr>
          <w:rFonts w:hint="eastAsia"/>
          <w:sz w:val="36"/>
          <w:szCs w:val="24"/>
        </w:rPr>
        <w:t>工作原则</w:t>
      </w:r>
      <w:bookmarkEnd w:id="12"/>
    </w:p>
    <w:p>
      <w:pPr>
        <w:spacing w:beforeLines="0" w:afterLines="0"/>
        <w:rPr>
          <w:rFonts w:hint="eastAsia"/>
          <w:sz w:val="28"/>
          <w:szCs w:val="24"/>
        </w:rPr>
      </w:pPr>
      <w:r>
        <w:rPr>
          <w:rFonts w:hint="eastAsia"/>
          <w:sz w:val="28"/>
          <w:szCs w:val="24"/>
        </w:rPr>
        <w:t>（1）以人为本，预防为主。把保障人民群众生命财产及环境安全作为首要任务，最大限度地减少突发环境事件造成的危害；建立环境事件风险防范体系，加强对危险源和潜在危险源的监测、监控、预警，提高环境事件防范和处理能力。</w:t>
      </w:r>
    </w:p>
    <w:p>
      <w:pPr>
        <w:spacing w:beforeLines="0" w:afterLines="0"/>
        <w:rPr>
          <w:rFonts w:hint="eastAsia"/>
          <w:sz w:val="28"/>
          <w:szCs w:val="24"/>
        </w:rPr>
      </w:pPr>
      <w:r>
        <w:rPr>
          <w:rFonts w:hint="eastAsia"/>
          <w:sz w:val="28"/>
          <w:szCs w:val="24"/>
        </w:rPr>
        <w:t>（2）统一领导，分级管理。建立政府统一领导、部门分工协作主要落实、公众有序参与的环境应急管理体制；根据突发环境事件的范围、性质和危害程度，对应急处置工作实行分级管理。</w:t>
      </w:r>
    </w:p>
    <w:p>
      <w:pPr>
        <w:spacing w:beforeLines="0" w:afterLines="0"/>
        <w:rPr>
          <w:rFonts w:hint="eastAsia"/>
          <w:sz w:val="28"/>
          <w:szCs w:val="24"/>
        </w:rPr>
      </w:pPr>
      <w:r>
        <w:rPr>
          <w:rFonts w:hint="eastAsia"/>
          <w:sz w:val="28"/>
          <w:szCs w:val="24"/>
        </w:rPr>
        <w:t>（3）部门联动，相互增援。完善部门联动机制，充分发挥部门专业优势和专业应急救援力量作用，引导、鼓励实现“一专多能”，共同应对突发环境事件；建立社会应急动员机制，充实救援队伍，提高公众自救、互救能力。</w:t>
      </w:r>
    </w:p>
    <w:p>
      <w:pPr>
        <w:spacing w:beforeLines="0" w:afterLines="0"/>
        <w:rPr>
          <w:rFonts w:hint="eastAsia"/>
          <w:sz w:val="28"/>
          <w:szCs w:val="24"/>
        </w:rPr>
      </w:pPr>
      <w:r>
        <w:rPr>
          <w:rFonts w:hint="eastAsia"/>
          <w:sz w:val="28"/>
          <w:szCs w:val="24"/>
        </w:rPr>
        <w:t>（4）平战结合，快速反应。加强环境应急管理人员和应急处置队伍培训，积极开展突发环境事件应急预案演练，掌握第一时间处置突发环境事件技能，全面提高快速反应能力。由于企事业单位原因造成突发环境事件时，企事业单位应进行先期处置，控制事态，减轻后果，并报告所在地政府和生态环境部门。</w:t>
      </w:r>
    </w:p>
    <w:p>
      <w:pPr>
        <w:spacing w:beforeLines="0" w:afterLines="0"/>
        <w:rPr>
          <w:rFonts w:hint="eastAsia"/>
          <w:sz w:val="28"/>
          <w:szCs w:val="24"/>
        </w:rPr>
      </w:pPr>
      <w:r>
        <w:rPr>
          <w:rFonts w:hint="eastAsia"/>
          <w:sz w:val="28"/>
          <w:szCs w:val="24"/>
        </w:rPr>
        <w:t>（5）依靠科学，依法规范。采用先进技术，充分发挥专家作用，重视开展预防和处置突发环境事件的科研和培训，突发环境事件应急处置提供科技保障。采用先进的应急装备和技术，增强应急反应能力，依法规范应急反应工作，确保应急预案的科学性、权威性和可操作性。</w:t>
      </w:r>
    </w:p>
    <w:p>
      <w:pPr>
        <w:spacing w:beforeLines="0" w:afterLines="0"/>
        <w:rPr>
          <w:rFonts w:hint="eastAsia"/>
          <w:sz w:val="28"/>
          <w:szCs w:val="24"/>
        </w:rPr>
      </w:pPr>
    </w:p>
    <w:p>
      <w:pPr>
        <w:pStyle w:val="4"/>
        <w:spacing w:beforeLines="0" w:afterLines="0"/>
        <w:rPr>
          <w:rFonts w:hint="eastAsia"/>
          <w:sz w:val="44"/>
          <w:szCs w:val="24"/>
        </w:rPr>
      </w:pPr>
      <w:bookmarkStart w:id="13" w:name="_Toc7804"/>
      <w:r>
        <w:rPr>
          <w:rFonts w:hint="eastAsia"/>
          <w:sz w:val="36"/>
          <w:szCs w:val="24"/>
        </w:rPr>
        <w:t>应急组织指挥体系</w:t>
      </w:r>
      <w:bookmarkEnd w:id="13"/>
    </w:p>
    <w:p>
      <w:pPr>
        <w:spacing w:beforeLines="0" w:afterLines="0"/>
        <w:rPr>
          <w:rFonts w:hint="eastAsia"/>
          <w:sz w:val="28"/>
          <w:szCs w:val="24"/>
        </w:rPr>
      </w:pPr>
      <w:r>
        <w:rPr>
          <w:rFonts w:hint="eastAsia"/>
          <w:sz w:val="28"/>
          <w:szCs w:val="24"/>
        </w:rPr>
        <w:t>铅山县县级饮用水水源地突发环境事件应急组织指挥体系主要由突发环境事件应急指挥部、现场应急指挥部和现场应急工作组组成。铅山县县级饮用水水源地突发环境事件的应急处置工作受突发环境事件应急指挥部统一领导。铅山县有关部门按照各自职责做好县级饮用水水源地突发环境事件应急保障工作。</w:t>
      </w:r>
    </w:p>
    <w:p>
      <w:pPr>
        <w:spacing w:beforeLines="0" w:afterLines="0"/>
        <w:rPr>
          <w:rFonts w:hint="eastAsia"/>
          <w:sz w:val="28"/>
          <w:szCs w:val="24"/>
        </w:rPr>
      </w:pPr>
      <w:r>
        <w:rPr>
          <w:rFonts w:hint="eastAsia"/>
          <w:sz w:val="28"/>
          <w:szCs w:val="24"/>
        </w:rPr>
        <w:t>根据突发环境事件影响程度和应急处置工作需要，还包括可能的外部应急救援力量，如上级人民政府及有关部门、专业应急组织、应急咨询或支援机构等。</w:t>
      </w:r>
    </w:p>
    <w:p>
      <w:pPr>
        <w:spacing w:beforeLines="0" w:afterLines="0"/>
        <w:rPr>
          <w:rFonts w:hint="eastAsia"/>
          <w:sz w:val="28"/>
          <w:szCs w:val="24"/>
        </w:rPr>
      </w:pPr>
      <w:r>
        <w:rPr>
          <w:rFonts w:hint="eastAsia"/>
          <w:sz w:val="28"/>
          <w:szCs w:val="24"/>
        </w:rPr>
        <w:t>具体组织机构体系见图2.1。</w:t>
      </w:r>
    </w:p>
    <w:p>
      <w:pPr>
        <w:pStyle w:val="9"/>
        <w:spacing w:beforeLines="0" w:afterLines="0"/>
        <w:rPr>
          <w:rFonts w:hint="eastAsia"/>
          <w:sz w:val="21"/>
          <w:szCs w:val="24"/>
        </w:rPr>
      </w:pPr>
      <w:r>
        <w:rPr>
          <w:rFonts w:hint="default"/>
          <w:sz w:val="21"/>
          <w:szCs w:val="24"/>
        </w:rPr>
        <w:drawing>
          <wp:inline distT="0" distB="0" distL="114300" distR="114300">
            <wp:extent cx="5254625" cy="4017645"/>
            <wp:effectExtent l="0" t="0" r="3175" b="1905"/>
            <wp:docPr id="4" name="图片 2" descr="C:\Users\Administrator.BF-20210324HAZM\Desktop\应急组织机构体系示意图.png应急组织机构体系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BF-20210324HAZM\Desktop\应急组织机构体系示意图.png应急组织机构体系示意图"/>
                    <pic:cNvPicPr>
                      <a:picLocks noChangeAspect="1"/>
                    </pic:cNvPicPr>
                  </pic:nvPicPr>
                  <pic:blipFill>
                    <a:blip r:embed="rId13"/>
                    <a:stretch>
                      <a:fillRect/>
                    </a:stretch>
                  </pic:blipFill>
                  <pic:spPr>
                    <a:xfrm>
                      <a:off x="0" y="0"/>
                      <a:ext cx="5254625" cy="4017645"/>
                    </a:xfrm>
                    <a:prstGeom prst="rect">
                      <a:avLst/>
                    </a:prstGeom>
                    <a:noFill/>
                    <a:ln>
                      <a:noFill/>
                    </a:ln>
                  </pic:spPr>
                </pic:pic>
              </a:graphicData>
            </a:graphic>
          </wp:inline>
        </w:drawing>
      </w:r>
    </w:p>
    <w:p>
      <w:pPr>
        <w:pStyle w:val="9"/>
        <w:spacing w:beforeLines="0" w:afterLines="0"/>
        <w:rPr>
          <w:rFonts w:hint="eastAsia"/>
          <w:sz w:val="21"/>
          <w:szCs w:val="24"/>
        </w:rPr>
      </w:pPr>
      <w:r>
        <w:rPr>
          <w:rFonts w:hint="eastAsia"/>
          <w:sz w:val="21"/>
          <w:szCs w:val="24"/>
        </w:rPr>
        <w:t xml:space="preserve">图 </w:t>
      </w:r>
      <w:r>
        <w:rPr>
          <w:rFonts w:hint="eastAsia"/>
          <w:sz w:val="21"/>
          <w:szCs w:val="24"/>
        </w:rPr>
        <w:fldChar w:fldCharType="begin"/>
      </w:r>
      <w:r>
        <w:rPr>
          <w:rFonts w:hint="eastAsia"/>
          <w:sz w:val="21"/>
          <w:szCs w:val="24"/>
        </w:rPr>
        <w:instrText xml:space="preserve"> STYLEREF 1 \s </w:instrText>
      </w:r>
      <w:r>
        <w:rPr>
          <w:rFonts w:hint="eastAsia"/>
          <w:sz w:val="21"/>
          <w:szCs w:val="24"/>
        </w:rPr>
        <w:fldChar w:fldCharType="separate"/>
      </w:r>
      <w:r>
        <w:rPr>
          <w:rFonts w:hint="eastAsia"/>
          <w:sz w:val="21"/>
          <w:szCs w:val="24"/>
        </w:rPr>
        <w:t>2</w:t>
      </w:r>
      <w:r>
        <w:rPr>
          <w:rFonts w:hint="eastAsia"/>
          <w:sz w:val="21"/>
          <w:szCs w:val="24"/>
        </w:rPr>
        <w:fldChar w:fldCharType="end"/>
      </w:r>
      <w:r>
        <w:rPr>
          <w:rFonts w:hint="eastAsia"/>
          <w:sz w:val="21"/>
          <w:szCs w:val="24"/>
        </w:rPr>
        <w:t>.</w:t>
      </w:r>
      <w:r>
        <w:rPr>
          <w:rFonts w:hint="eastAsia"/>
          <w:sz w:val="21"/>
          <w:szCs w:val="24"/>
        </w:rPr>
        <w:fldChar w:fldCharType="begin"/>
      </w:r>
      <w:r>
        <w:rPr>
          <w:rFonts w:hint="eastAsia"/>
          <w:sz w:val="21"/>
          <w:szCs w:val="24"/>
        </w:rPr>
        <w:instrText xml:space="preserve"> SEQ 图 \* ARABIC \s 1 </w:instrText>
      </w:r>
      <w:r>
        <w:rPr>
          <w:rFonts w:hint="eastAsia"/>
          <w:sz w:val="21"/>
          <w:szCs w:val="24"/>
        </w:rPr>
        <w:fldChar w:fldCharType="separate"/>
      </w:r>
      <w:r>
        <w:rPr>
          <w:rFonts w:hint="eastAsia"/>
          <w:sz w:val="21"/>
          <w:szCs w:val="24"/>
        </w:rPr>
        <w:t>1</w:t>
      </w:r>
      <w:r>
        <w:rPr>
          <w:rFonts w:hint="eastAsia"/>
          <w:sz w:val="21"/>
          <w:szCs w:val="24"/>
        </w:rPr>
        <w:fldChar w:fldCharType="end"/>
      </w:r>
      <w:r>
        <w:rPr>
          <w:rFonts w:hint="eastAsia"/>
          <w:sz w:val="21"/>
          <w:szCs w:val="24"/>
        </w:rPr>
        <w:t xml:space="preserve">  应急组织机构体系示意图</w:t>
      </w:r>
    </w:p>
    <w:p>
      <w:pPr>
        <w:pStyle w:val="5"/>
        <w:spacing w:beforeLines="0" w:afterLines="0"/>
        <w:rPr>
          <w:rFonts w:hint="eastAsia"/>
          <w:sz w:val="36"/>
          <w:szCs w:val="24"/>
        </w:rPr>
      </w:pPr>
      <w:bookmarkStart w:id="14" w:name="_Toc13676"/>
      <w:r>
        <w:rPr>
          <w:rFonts w:hint="eastAsia"/>
          <w:sz w:val="36"/>
          <w:szCs w:val="24"/>
        </w:rPr>
        <w:t>突发环境事件应急指挥部</w:t>
      </w:r>
      <w:bookmarkEnd w:id="14"/>
    </w:p>
    <w:p>
      <w:pPr>
        <w:spacing w:beforeLines="0" w:afterLines="0"/>
        <w:rPr>
          <w:rFonts w:hint="eastAsia"/>
          <w:sz w:val="28"/>
          <w:szCs w:val="24"/>
        </w:rPr>
      </w:pPr>
      <w:r>
        <w:rPr>
          <w:rFonts w:hint="eastAsia"/>
          <w:sz w:val="28"/>
          <w:szCs w:val="24"/>
        </w:rPr>
        <w:t>突发环境事件应急指挥部主要包括总指挥、副总指挥、协调办公室和专项工作组组成，应急指挥机构和职责见附件3。每个机构主要责任人未在岗时，应由其内部调配替岗，实现AB角，应急时各机构均应有责任人在岗。</w:t>
      </w:r>
    </w:p>
    <w:p>
      <w:pPr>
        <w:pStyle w:val="6"/>
        <w:spacing w:beforeLines="0" w:afterLines="0"/>
        <w:rPr>
          <w:rFonts w:hint="eastAsia"/>
          <w:sz w:val="32"/>
          <w:szCs w:val="24"/>
        </w:rPr>
      </w:pPr>
      <w:bookmarkStart w:id="15" w:name="_Toc12049"/>
      <w:r>
        <w:rPr>
          <w:rFonts w:hint="eastAsia"/>
          <w:sz w:val="32"/>
          <w:szCs w:val="24"/>
        </w:rPr>
        <w:t>主要成员组成</w:t>
      </w:r>
      <w:bookmarkEnd w:id="15"/>
    </w:p>
    <w:p>
      <w:pPr>
        <w:spacing w:beforeLines="0" w:afterLines="0"/>
        <w:rPr>
          <w:rFonts w:hint="eastAsia"/>
          <w:sz w:val="28"/>
          <w:szCs w:val="24"/>
        </w:rPr>
      </w:pPr>
      <w:r>
        <w:rPr>
          <w:rFonts w:hint="eastAsia"/>
          <w:sz w:val="28"/>
          <w:szCs w:val="24"/>
        </w:rPr>
        <w:t>总指挥：铅山县政府分管生态环境副县长。</w:t>
      </w:r>
    </w:p>
    <w:p>
      <w:pPr>
        <w:spacing w:beforeLines="0" w:afterLines="0"/>
        <w:rPr>
          <w:rFonts w:hint="eastAsia"/>
          <w:sz w:val="28"/>
          <w:szCs w:val="24"/>
        </w:rPr>
      </w:pPr>
      <w:r>
        <w:rPr>
          <w:rFonts w:hint="eastAsia"/>
          <w:sz w:val="28"/>
          <w:szCs w:val="24"/>
        </w:rPr>
        <w:t>副总指挥：铅山县政府办副主任、上饶市铅山生态环境局局长、铅山县水利局局长及铅山县应急管理局局长。</w:t>
      </w:r>
    </w:p>
    <w:p>
      <w:pPr>
        <w:spacing w:beforeLines="0" w:afterLines="0"/>
        <w:rPr>
          <w:rFonts w:hint="eastAsia"/>
          <w:sz w:val="28"/>
          <w:szCs w:val="24"/>
        </w:rPr>
      </w:pPr>
      <w:r>
        <w:rPr>
          <w:rFonts w:hint="eastAsia"/>
          <w:sz w:val="28"/>
          <w:szCs w:val="24"/>
        </w:rPr>
        <w:t>协调办公室主要成员：协调办公室挂靠在上饶市铅山生态环境局，由上饶市铅山生态环境局分管环境应急副局长担任办公室主任，其他办公室成员由上饶市铅山生态环境局办公室、生态股、水股、铅山生态环境保护综合执法大队以及铅山生态环境监测技术中心等部门负责人组成。值班电话0793-5160256。</w:t>
      </w:r>
    </w:p>
    <w:p>
      <w:pPr>
        <w:spacing w:beforeLines="0" w:afterLines="0"/>
        <w:rPr>
          <w:rFonts w:hint="eastAsia"/>
          <w:sz w:val="28"/>
          <w:szCs w:val="24"/>
        </w:rPr>
      </w:pPr>
      <w:r>
        <w:rPr>
          <w:rFonts w:hint="eastAsia"/>
          <w:sz w:val="28"/>
          <w:szCs w:val="24"/>
        </w:rPr>
        <w:t>专项工作组主要成员：由上饶市铅山生态环境局局长兼任组长，其他成员由铅山县应急管理局、水利局、财政局、自然资源局、交通运输局、公安局、农业农村局、卫生健康委、消防救援大队、气象局、县委宣传部、天柱山乡人民政府、篁碧畲族乡人民政府、葛仙山镇人民政府、陈坊乡人民政府、铅山县银龙水务有限公司等部门负责人组成。</w:t>
      </w:r>
    </w:p>
    <w:p>
      <w:pPr>
        <w:pStyle w:val="6"/>
        <w:spacing w:beforeLines="0" w:afterLines="0"/>
        <w:rPr>
          <w:rFonts w:hint="eastAsia"/>
          <w:sz w:val="32"/>
          <w:szCs w:val="24"/>
        </w:rPr>
      </w:pPr>
      <w:bookmarkStart w:id="16" w:name="_Toc9524"/>
      <w:r>
        <w:rPr>
          <w:rFonts w:hint="eastAsia"/>
          <w:sz w:val="32"/>
          <w:szCs w:val="24"/>
        </w:rPr>
        <w:t>主要职责</w:t>
      </w:r>
      <w:bookmarkEnd w:id="16"/>
    </w:p>
    <w:p>
      <w:pPr>
        <w:pStyle w:val="7"/>
        <w:spacing w:beforeLines="0" w:afterLines="0"/>
        <w:rPr>
          <w:rFonts w:hint="eastAsia"/>
          <w:sz w:val="30"/>
          <w:szCs w:val="24"/>
        </w:rPr>
      </w:pPr>
      <w:bookmarkStart w:id="17" w:name="_Toc32327"/>
      <w:r>
        <w:rPr>
          <w:rFonts w:hint="eastAsia"/>
          <w:sz w:val="30"/>
          <w:szCs w:val="24"/>
        </w:rPr>
        <w:t>总指挥主要职责</w:t>
      </w:r>
      <w:bookmarkEnd w:id="17"/>
    </w:p>
    <w:p>
      <w:pPr>
        <w:spacing w:beforeLines="0" w:afterLines="0"/>
        <w:rPr>
          <w:rFonts w:hint="eastAsia"/>
          <w:sz w:val="28"/>
          <w:szCs w:val="24"/>
        </w:rPr>
      </w:pPr>
      <w:r>
        <w:rPr>
          <w:rFonts w:hint="eastAsia"/>
          <w:sz w:val="28"/>
          <w:szCs w:val="24"/>
        </w:rPr>
        <w:t>（1）日常职责</w:t>
      </w:r>
    </w:p>
    <w:p>
      <w:pPr>
        <w:spacing w:beforeLines="0" w:afterLines="0"/>
        <w:rPr>
          <w:rFonts w:hint="eastAsia" w:ascii="楷体" w:hAnsi="楷体"/>
          <w:sz w:val="28"/>
          <w:szCs w:val="24"/>
        </w:rPr>
      </w:pPr>
      <w:r>
        <w:rPr>
          <w:rFonts w:hint="eastAsia" w:ascii="楷体" w:hAnsi="楷体"/>
          <w:sz w:val="28"/>
          <w:szCs w:val="24"/>
        </w:rPr>
        <w:t>①贯彻执行国家、地方人民政府及有关部门关于伦潭水库饮用水水源地突发环境事件的各项要求；</w:t>
      </w:r>
    </w:p>
    <w:p>
      <w:pPr>
        <w:spacing w:beforeLines="0" w:afterLines="0"/>
        <w:rPr>
          <w:rFonts w:hint="eastAsia" w:ascii="楷体" w:hAnsi="楷体"/>
          <w:sz w:val="28"/>
          <w:szCs w:val="24"/>
        </w:rPr>
      </w:pPr>
      <w:r>
        <w:rPr>
          <w:rFonts w:hint="eastAsia" w:ascii="楷体" w:hAnsi="楷体"/>
          <w:sz w:val="28"/>
          <w:szCs w:val="24"/>
        </w:rPr>
        <w:t>②组织编制、修订和批准水源地应急预案；</w:t>
      </w:r>
    </w:p>
    <w:p>
      <w:pPr>
        <w:spacing w:beforeLines="0" w:afterLines="0"/>
        <w:rPr>
          <w:rFonts w:hint="eastAsia" w:ascii="楷体" w:hAnsi="楷体"/>
          <w:sz w:val="28"/>
          <w:szCs w:val="24"/>
        </w:rPr>
      </w:pPr>
      <w:r>
        <w:rPr>
          <w:rFonts w:hint="eastAsia" w:ascii="楷体" w:hAnsi="楷体"/>
          <w:sz w:val="28"/>
          <w:szCs w:val="24"/>
        </w:rPr>
        <w:t>③指导加强伦潭水库饮用水水源地突发环境事件应急管理体系建设；</w:t>
      </w:r>
    </w:p>
    <w:p>
      <w:pPr>
        <w:spacing w:beforeLines="0" w:afterLines="0"/>
        <w:rPr>
          <w:rFonts w:hint="eastAsia" w:ascii="楷体" w:hAnsi="楷体"/>
          <w:sz w:val="28"/>
          <w:szCs w:val="24"/>
        </w:rPr>
      </w:pPr>
      <w:r>
        <w:rPr>
          <w:rFonts w:hint="eastAsia" w:ascii="楷体" w:hAnsi="楷体"/>
          <w:sz w:val="28"/>
          <w:szCs w:val="24"/>
        </w:rPr>
        <w:t>④协调保障伦潭水库饮用水水源地突发环境事件应急管理工作经费。</w:t>
      </w:r>
    </w:p>
    <w:p>
      <w:pPr>
        <w:spacing w:beforeLines="0" w:afterLines="0"/>
        <w:rPr>
          <w:rFonts w:hint="eastAsia" w:ascii="楷体" w:hAnsi="楷体"/>
          <w:sz w:val="28"/>
          <w:szCs w:val="24"/>
        </w:rPr>
      </w:pPr>
      <w:r>
        <w:rPr>
          <w:rFonts w:hint="eastAsia"/>
          <w:sz w:val="28"/>
          <w:szCs w:val="24"/>
        </w:rPr>
        <w:t>（2）</w:t>
      </w:r>
      <w:r>
        <w:rPr>
          <w:rFonts w:hint="eastAsia" w:ascii="楷体" w:hAnsi="楷体"/>
          <w:sz w:val="28"/>
          <w:szCs w:val="24"/>
        </w:rPr>
        <w:t>应急职责</w:t>
      </w:r>
    </w:p>
    <w:p>
      <w:pPr>
        <w:spacing w:beforeLines="0" w:afterLines="0"/>
        <w:rPr>
          <w:rFonts w:hint="eastAsia" w:ascii="楷体" w:hAnsi="楷体"/>
          <w:sz w:val="28"/>
          <w:szCs w:val="24"/>
        </w:rPr>
      </w:pPr>
      <w:r>
        <w:rPr>
          <w:rFonts w:hint="eastAsia" w:ascii="楷体" w:hAnsi="楷体"/>
          <w:sz w:val="28"/>
          <w:szCs w:val="24"/>
        </w:rPr>
        <w:t>①发生水源地突发环境事件时，亲自（或委托副总指挥）赶赴现场进行指挥，组织开展现场应急处置；</w:t>
      </w:r>
    </w:p>
    <w:p>
      <w:pPr>
        <w:spacing w:beforeLines="0" w:afterLines="0"/>
        <w:rPr>
          <w:rFonts w:hint="eastAsia" w:ascii="楷体" w:hAnsi="楷体"/>
          <w:sz w:val="28"/>
          <w:szCs w:val="24"/>
        </w:rPr>
      </w:pPr>
      <w:r>
        <w:rPr>
          <w:rFonts w:hint="eastAsia" w:ascii="楷体" w:hAnsi="楷体"/>
          <w:sz w:val="28"/>
          <w:szCs w:val="24"/>
        </w:rPr>
        <w:t>②贯彻执行上级人民政府及有关部门的应急指令；</w:t>
      </w:r>
    </w:p>
    <w:p>
      <w:pPr>
        <w:spacing w:beforeLines="0" w:afterLines="0"/>
        <w:rPr>
          <w:rFonts w:hint="eastAsia" w:ascii="楷体" w:hAnsi="楷体"/>
          <w:sz w:val="28"/>
          <w:szCs w:val="24"/>
        </w:rPr>
      </w:pPr>
      <w:r>
        <w:rPr>
          <w:rFonts w:hint="eastAsia" w:ascii="楷体" w:hAnsi="楷体"/>
          <w:sz w:val="28"/>
          <w:szCs w:val="24"/>
        </w:rPr>
        <w:t>③按照预警、应急启动或终止条件，决定预案的启动或终止；</w:t>
      </w:r>
    </w:p>
    <w:p>
      <w:pPr>
        <w:spacing w:beforeLines="0" w:afterLines="0"/>
        <w:rPr>
          <w:rFonts w:hint="eastAsia" w:ascii="楷体" w:hAnsi="楷体"/>
          <w:sz w:val="28"/>
          <w:szCs w:val="24"/>
        </w:rPr>
      </w:pPr>
      <w:r>
        <w:rPr>
          <w:rFonts w:hint="eastAsia" w:ascii="楷体" w:hAnsi="楷体"/>
          <w:sz w:val="28"/>
          <w:szCs w:val="24"/>
        </w:rPr>
        <w:t>④研判水源地突发环境事件发展态势，组织制定并批准现场处置方案；</w:t>
      </w:r>
    </w:p>
    <w:p>
      <w:pPr>
        <w:spacing w:beforeLines="0" w:afterLines="0"/>
        <w:rPr>
          <w:rFonts w:hint="eastAsia" w:ascii="楷体" w:hAnsi="楷体"/>
          <w:sz w:val="28"/>
          <w:szCs w:val="24"/>
        </w:rPr>
      </w:pPr>
      <w:r>
        <w:rPr>
          <w:rFonts w:hint="eastAsia" w:ascii="楷体" w:hAnsi="楷体"/>
          <w:sz w:val="28"/>
          <w:szCs w:val="24"/>
        </w:rPr>
        <w:t>⑤组织开展损害评估等后期工作。</w:t>
      </w:r>
    </w:p>
    <w:p>
      <w:pPr>
        <w:pStyle w:val="7"/>
        <w:spacing w:beforeLines="0" w:afterLines="0"/>
        <w:rPr>
          <w:rFonts w:hint="eastAsia"/>
          <w:sz w:val="30"/>
          <w:szCs w:val="24"/>
        </w:rPr>
      </w:pPr>
      <w:bookmarkStart w:id="18" w:name="_Toc21130"/>
      <w:r>
        <w:rPr>
          <w:rFonts w:hint="eastAsia"/>
          <w:sz w:val="30"/>
          <w:szCs w:val="24"/>
        </w:rPr>
        <w:t>副总指挥主要职责</w:t>
      </w:r>
      <w:bookmarkEnd w:id="18"/>
    </w:p>
    <w:p>
      <w:pPr>
        <w:spacing w:beforeLines="0" w:afterLines="0"/>
        <w:rPr>
          <w:rFonts w:hint="eastAsia"/>
          <w:sz w:val="28"/>
          <w:szCs w:val="24"/>
        </w:rPr>
      </w:pPr>
      <w:r>
        <w:rPr>
          <w:rFonts w:hint="eastAsia"/>
          <w:sz w:val="28"/>
          <w:szCs w:val="24"/>
        </w:rPr>
        <w:t>（1）日常职责</w:t>
      </w:r>
    </w:p>
    <w:p>
      <w:pPr>
        <w:spacing w:beforeLines="0" w:afterLines="0"/>
        <w:rPr>
          <w:rFonts w:hint="eastAsia" w:ascii="楷体" w:hAnsi="楷体"/>
          <w:sz w:val="28"/>
          <w:szCs w:val="24"/>
        </w:rPr>
      </w:pPr>
      <w:r>
        <w:rPr>
          <w:rFonts w:hint="eastAsia" w:ascii="楷体" w:hAnsi="楷体"/>
          <w:sz w:val="28"/>
          <w:szCs w:val="24"/>
        </w:rPr>
        <w:t>①协助总指挥开展有关工作；</w:t>
      </w:r>
    </w:p>
    <w:p>
      <w:pPr>
        <w:spacing w:beforeLines="0" w:afterLines="0"/>
        <w:rPr>
          <w:rFonts w:hint="eastAsia" w:ascii="楷体" w:hAnsi="楷体"/>
          <w:sz w:val="28"/>
          <w:szCs w:val="24"/>
        </w:rPr>
      </w:pPr>
      <w:r>
        <w:rPr>
          <w:rFonts w:hint="eastAsia" w:ascii="楷体" w:hAnsi="楷体"/>
          <w:sz w:val="28"/>
          <w:szCs w:val="24"/>
        </w:rPr>
        <w:t>②组织指导水源地突发环境事件应急预案培训和演练、应急救援队伍建设和能力评估等工作；</w:t>
      </w:r>
    </w:p>
    <w:p>
      <w:pPr>
        <w:spacing w:beforeLines="0" w:afterLines="0"/>
        <w:rPr>
          <w:rFonts w:hint="eastAsia" w:ascii="楷体" w:hAnsi="楷体"/>
          <w:sz w:val="28"/>
          <w:szCs w:val="24"/>
        </w:rPr>
      </w:pPr>
      <w:r>
        <w:rPr>
          <w:rFonts w:hint="eastAsia" w:ascii="楷体" w:hAnsi="楷体"/>
          <w:sz w:val="28"/>
          <w:szCs w:val="24"/>
        </w:rPr>
        <w:t>③指导开展水源地突发环境事件风险防范和应急准备工作。</w:t>
      </w:r>
    </w:p>
    <w:p>
      <w:pPr>
        <w:spacing w:beforeLines="0" w:afterLines="0"/>
        <w:rPr>
          <w:rFonts w:hint="eastAsia" w:ascii="楷体" w:hAnsi="楷体"/>
          <w:sz w:val="28"/>
          <w:szCs w:val="24"/>
        </w:rPr>
      </w:pPr>
      <w:r>
        <w:rPr>
          <w:rFonts w:hint="eastAsia"/>
          <w:sz w:val="28"/>
          <w:szCs w:val="24"/>
        </w:rPr>
        <w:t>（2）</w:t>
      </w:r>
      <w:r>
        <w:rPr>
          <w:rFonts w:hint="eastAsia" w:ascii="楷体" w:hAnsi="楷体"/>
          <w:sz w:val="28"/>
          <w:szCs w:val="24"/>
        </w:rPr>
        <w:t>应急职责</w:t>
      </w:r>
    </w:p>
    <w:p>
      <w:pPr>
        <w:spacing w:beforeLines="0" w:afterLines="0"/>
        <w:rPr>
          <w:rFonts w:hint="eastAsia" w:ascii="楷体" w:hAnsi="楷体"/>
          <w:sz w:val="28"/>
          <w:szCs w:val="24"/>
        </w:rPr>
      </w:pPr>
      <w:r>
        <w:rPr>
          <w:rFonts w:hint="eastAsia" w:ascii="楷体" w:hAnsi="楷体"/>
          <w:sz w:val="28"/>
          <w:szCs w:val="24"/>
        </w:rPr>
        <w:t>①协助总指挥组织开展现场应急处置；</w:t>
      </w:r>
    </w:p>
    <w:p>
      <w:pPr>
        <w:spacing w:beforeLines="0" w:afterLines="0"/>
        <w:rPr>
          <w:rFonts w:hint="eastAsia" w:ascii="楷体" w:hAnsi="楷体"/>
          <w:sz w:val="28"/>
          <w:szCs w:val="24"/>
        </w:rPr>
      </w:pPr>
      <w:r>
        <w:rPr>
          <w:rFonts w:hint="eastAsia" w:ascii="楷体" w:hAnsi="楷体"/>
          <w:sz w:val="28"/>
          <w:szCs w:val="24"/>
        </w:rPr>
        <w:t>②根据分工或总指挥安排，负责现场的具体指挥协调；</w:t>
      </w:r>
    </w:p>
    <w:p>
      <w:pPr>
        <w:spacing w:beforeLines="0" w:afterLines="0"/>
        <w:rPr>
          <w:rFonts w:hint="eastAsia" w:ascii="楷体" w:hAnsi="楷体"/>
          <w:sz w:val="28"/>
          <w:szCs w:val="24"/>
        </w:rPr>
      </w:pPr>
      <w:r>
        <w:rPr>
          <w:rFonts w:hint="eastAsia" w:ascii="楷体" w:hAnsi="楷体"/>
          <w:sz w:val="28"/>
          <w:szCs w:val="24"/>
        </w:rPr>
        <w:t>③负责提出有关应急处置建议；</w:t>
      </w:r>
    </w:p>
    <w:p>
      <w:pPr>
        <w:spacing w:beforeLines="0" w:afterLines="0"/>
        <w:rPr>
          <w:rFonts w:hint="eastAsia" w:ascii="楷体" w:hAnsi="楷体"/>
          <w:sz w:val="28"/>
          <w:szCs w:val="24"/>
        </w:rPr>
      </w:pPr>
      <w:r>
        <w:rPr>
          <w:rFonts w:hint="eastAsia" w:ascii="楷体" w:hAnsi="楷体"/>
          <w:sz w:val="28"/>
          <w:szCs w:val="24"/>
        </w:rPr>
        <w:t>④负责向未到场的相关部门及人员通报有关应急信息；</w:t>
      </w:r>
    </w:p>
    <w:p>
      <w:pPr>
        <w:spacing w:beforeLines="0" w:afterLines="0"/>
        <w:rPr>
          <w:rFonts w:hint="eastAsia" w:ascii="楷体" w:hAnsi="楷体"/>
          <w:sz w:val="28"/>
          <w:szCs w:val="24"/>
        </w:rPr>
      </w:pPr>
      <w:r>
        <w:rPr>
          <w:rFonts w:hint="eastAsia" w:ascii="楷体" w:hAnsi="楷体"/>
          <w:sz w:val="28"/>
          <w:szCs w:val="24"/>
        </w:rPr>
        <w:t>⑤负责协调现场与场外应急处置工作；</w:t>
      </w:r>
    </w:p>
    <w:p>
      <w:pPr>
        <w:spacing w:beforeLines="0" w:afterLines="0"/>
        <w:rPr>
          <w:rFonts w:hint="eastAsia" w:ascii="楷体" w:hAnsi="楷体"/>
          <w:sz w:val="28"/>
          <w:szCs w:val="24"/>
        </w:rPr>
      </w:pPr>
      <w:r>
        <w:rPr>
          <w:rFonts w:hint="eastAsia" w:ascii="楷体" w:hAnsi="楷体"/>
          <w:sz w:val="28"/>
          <w:szCs w:val="24"/>
        </w:rPr>
        <w:t>⑥突发事件水源地停止取水后，负责协调启动应急水源保障居民用水；</w:t>
      </w:r>
    </w:p>
    <w:p>
      <w:pPr>
        <w:spacing w:beforeLines="0" w:afterLines="0"/>
        <w:rPr>
          <w:rFonts w:hint="eastAsia" w:ascii="楷体" w:hAnsi="楷体"/>
          <w:sz w:val="28"/>
          <w:szCs w:val="24"/>
        </w:rPr>
      </w:pPr>
      <w:r>
        <w:rPr>
          <w:rFonts w:hint="eastAsia" w:ascii="楷体" w:hAnsi="楷体"/>
          <w:sz w:val="28"/>
          <w:szCs w:val="24"/>
        </w:rPr>
        <w:t>⑦处置现场出现的紧急情况。</w:t>
      </w:r>
    </w:p>
    <w:p>
      <w:pPr>
        <w:pStyle w:val="7"/>
        <w:spacing w:beforeLines="0" w:afterLines="0"/>
        <w:rPr>
          <w:rFonts w:hint="eastAsia"/>
          <w:sz w:val="30"/>
          <w:szCs w:val="24"/>
        </w:rPr>
      </w:pPr>
      <w:bookmarkStart w:id="19" w:name="_Toc16763"/>
      <w:r>
        <w:rPr>
          <w:rFonts w:hint="eastAsia"/>
          <w:sz w:val="30"/>
          <w:szCs w:val="24"/>
        </w:rPr>
        <w:t>协调办公室主要职责</w:t>
      </w:r>
      <w:bookmarkEnd w:id="19"/>
    </w:p>
    <w:p>
      <w:pPr>
        <w:spacing w:beforeLines="0" w:afterLines="0"/>
        <w:rPr>
          <w:rFonts w:hint="eastAsia"/>
          <w:sz w:val="28"/>
          <w:szCs w:val="24"/>
        </w:rPr>
      </w:pPr>
      <w:r>
        <w:rPr>
          <w:rFonts w:hint="eastAsia"/>
          <w:sz w:val="28"/>
          <w:szCs w:val="24"/>
        </w:rPr>
        <w:t>（1）日常职责</w:t>
      </w:r>
    </w:p>
    <w:p>
      <w:pPr>
        <w:spacing w:beforeLines="0" w:afterLines="0"/>
        <w:rPr>
          <w:rFonts w:hint="eastAsia" w:ascii="楷体" w:hAnsi="楷体"/>
          <w:sz w:val="28"/>
          <w:szCs w:val="24"/>
        </w:rPr>
      </w:pPr>
      <w:r>
        <w:rPr>
          <w:rFonts w:hint="eastAsia" w:ascii="楷体" w:hAnsi="楷体"/>
          <w:sz w:val="28"/>
          <w:szCs w:val="24"/>
        </w:rPr>
        <w:t>①组织编制、修订水源地应急预案；负责建立和完善水源地环境应急预警机制；</w:t>
      </w:r>
    </w:p>
    <w:p>
      <w:pPr>
        <w:spacing w:beforeLines="0" w:afterLines="0"/>
        <w:rPr>
          <w:rFonts w:hint="eastAsia" w:ascii="楷体" w:hAnsi="楷体"/>
          <w:sz w:val="28"/>
          <w:szCs w:val="24"/>
        </w:rPr>
      </w:pPr>
      <w:r>
        <w:rPr>
          <w:rFonts w:hint="eastAsia" w:ascii="楷体" w:hAnsi="楷体"/>
          <w:sz w:val="28"/>
          <w:szCs w:val="24"/>
        </w:rPr>
        <w:t>②负责水源地应急预案的日常管理，开展预案培训和演练、应急救援队伍建设和能力评估等工作；</w:t>
      </w:r>
    </w:p>
    <w:p>
      <w:pPr>
        <w:spacing w:beforeLines="0" w:afterLines="0"/>
        <w:rPr>
          <w:rFonts w:hint="eastAsia"/>
          <w:sz w:val="28"/>
          <w:szCs w:val="24"/>
        </w:rPr>
      </w:pPr>
      <w:r>
        <w:rPr>
          <w:rFonts w:hint="eastAsia" w:ascii="楷体" w:hAnsi="楷体"/>
          <w:sz w:val="28"/>
          <w:szCs w:val="24"/>
        </w:rPr>
        <w:t>③组织开展水源地突发环境事件风险防范和应急准备工作。</w:t>
      </w:r>
    </w:p>
    <w:p>
      <w:pPr>
        <w:spacing w:beforeLines="0" w:afterLines="0"/>
        <w:rPr>
          <w:rFonts w:hint="eastAsia"/>
          <w:sz w:val="28"/>
          <w:szCs w:val="24"/>
        </w:rPr>
      </w:pPr>
      <w:r>
        <w:rPr>
          <w:rFonts w:hint="eastAsia"/>
          <w:sz w:val="28"/>
          <w:szCs w:val="24"/>
        </w:rPr>
        <w:t>（2）应急职责</w:t>
      </w:r>
    </w:p>
    <w:p>
      <w:pPr>
        <w:spacing w:beforeLines="0" w:afterLines="0"/>
        <w:rPr>
          <w:rFonts w:hint="eastAsia" w:ascii="楷体" w:hAnsi="楷体"/>
          <w:sz w:val="28"/>
          <w:szCs w:val="24"/>
        </w:rPr>
      </w:pPr>
      <w:r>
        <w:rPr>
          <w:rFonts w:hint="eastAsia" w:ascii="楷体" w:hAnsi="楷体"/>
          <w:sz w:val="28"/>
          <w:szCs w:val="24"/>
        </w:rPr>
        <w:t>①贯彻执行总指挥、副总指挥的各项指令和要求；</w:t>
      </w:r>
    </w:p>
    <w:p>
      <w:pPr>
        <w:spacing w:beforeLines="0" w:afterLines="0"/>
        <w:rPr>
          <w:rFonts w:hint="eastAsia" w:ascii="楷体" w:hAnsi="楷体"/>
          <w:sz w:val="28"/>
          <w:szCs w:val="24"/>
        </w:rPr>
      </w:pPr>
      <w:r>
        <w:rPr>
          <w:rFonts w:hint="eastAsia" w:ascii="楷体" w:hAnsi="楷体"/>
          <w:sz w:val="28"/>
          <w:szCs w:val="24"/>
        </w:rPr>
        <w:t>②负责信息汇总上报，并与有关的外部应急部门、组织和机构进行联络；</w:t>
      </w:r>
    </w:p>
    <w:p>
      <w:pPr>
        <w:spacing w:beforeLines="0" w:afterLines="0"/>
        <w:rPr>
          <w:rFonts w:hint="eastAsia" w:ascii="楷体" w:hAnsi="楷体"/>
          <w:sz w:val="28"/>
          <w:szCs w:val="24"/>
        </w:rPr>
      </w:pPr>
      <w:r>
        <w:rPr>
          <w:rFonts w:hint="eastAsia" w:ascii="楷体" w:hAnsi="楷体"/>
          <w:sz w:val="28"/>
          <w:szCs w:val="24"/>
        </w:rPr>
        <w:t>③负责调动应急人员、调配应急资源和联络外部应急组织或机构；</w:t>
      </w:r>
    </w:p>
    <w:p>
      <w:pPr>
        <w:spacing w:beforeLines="0" w:afterLines="0"/>
        <w:rPr>
          <w:rFonts w:hint="eastAsia" w:ascii="楷体" w:hAnsi="楷体"/>
          <w:sz w:val="28"/>
          <w:szCs w:val="24"/>
        </w:rPr>
      </w:pPr>
      <w:r>
        <w:rPr>
          <w:rFonts w:hint="eastAsia" w:ascii="楷体" w:hAnsi="楷体"/>
          <w:sz w:val="28"/>
          <w:szCs w:val="24"/>
        </w:rPr>
        <w:t>④收集整理有关事件数据；</w:t>
      </w:r>
    </w:p>
    <w:p>
      <w:pPr>
        <w:spacing w:beforeLines="0" w:afterLines="0"/>
        <w:rPr>
          <w:rFonts w:hint="eastAsia" w:ascii="楷体" w:hAnsi="楷体"/>
          <w:sz w:val="28"/>
          <w:szCs w:val="24"/>
        </w:rPr>
      </w:pPr>
      <w:r>
        <w:rPr>
          <w:rFonts w:hint="eastAsia" w:ascii="楷体" w:hAnsi="楷体"/>
          <w:sz w:val="28"/>
          <w:szCs w:val="24"/>
        </w:rPr>
        <w:t>⑤协助事发现场周边地区环境应急、环境监察和监测单位进行动态环境监控，及时向总指挥报、副总指挥告动态情况（包括生物化学物质的种类、数量、范围、程度等）。</w:t>
      </w:r>
    </w:p>
    <w:p>
      <w:pPr>
        <w:pStyle w:val="7"/>
        <w:spacing w:beforeLines="0" w:afterLines="0"/>
        <w:rPr>
          <w:rFonts w:hint="eastAsia"/>
          <w:sz w:val="30"/>
          <w:szCs w:val="24"/>
        </w:rPr>
      </w:pPr>
      <w:bookmarkStart w:id="20" w:name="_Toc21228"/>
      <w:r>
        <w:rPr>
          <w:rFonts w:hint="eastAsia"/>
          <w:sz w:val="30"/>
          <w:szCs w:val="24"/>
        </w:rPr>
        <w:t>专项工作组主要职责</w:t>
      </w:r>
      <w:bookmarkEnd w:id="20"/>
    </w:p>
    <w:p>
      <w:pPr>
        <w:spacing w:beforeLines="0" w:afterLines="0"/>
        <w:rPr>
          <w:rFonts w:hint="eastAsia"/>
          <w:sz w:val="28"/>
          <w:szCs w:val="24"/>
        </w:rPr>
      </w:pPr>
      <w:r>
        <w:rPr>
          <w:rFonts w:hint="eastAsia"/>
          <w:sz w:val="28"/>
          <w:szCs w:val="24"/>
        </w:rPr>
        <w:t>突发环境事件应急工作专项工作组各成员单位按本部门职责负责各自专业领域的应急协调、保障工作，制定本部门铅山县县级饮用水水源地突发环境事件的应急救援和保障应急预案，需要其他部门增援时，突发环境事件应急总指挥、副总指挥向有关部门发出增援指令。各成员单位之间应建立应急联系工作机制，保证信息通畅和信息共享。</w:t>
      </w:r>
    </w:p>
    <w:p>
      <w:pPr>
        <w:spacing w:beforeLines="0" w:afterLines="0"/>
        <w:rPr>
          <w:rFonts w:hint="eastAsia" w:ascii="楷体" w:hAnsi="楷体"/>
          <w:sz w:val="28"/>
          <w:szCs w:val="24"/>
        </w:rPr>
      </w:pPr>
      <w:r>
        <w:rPr>
          <w:rFonts w:hint="eastAsia" w:ascii="楷体" w:hAnsi="楷体"/>
          <w:sz w:val="28"/>
          <w:szCs w:val="24"/>
        </w:rPr>
        <w:t>（1）上饶市铅山生态环境局</w:t>
      </w:r>
    </w:p>
    <w:p>
      <w:pPr>
        <w:spacing w:beforeLines="0" w:afterLines="0"/>
        <w:rPr>
          <w:rFonts w:hint="eastAsia" w:ascii="楷体" w:hAnsi="楷体"/>
          <w:sz w:val="28"/>
          <w:szCs w:val="24"/>
        </w:rPr>
      </w:pPr>
      <w:r>
        <w:rPr>
          <w:rFonts w:hint="eastAsia" w:ascii="楷体" w:hAnsi="楷体"/>
          <w:b/>
          <w:sz w:val="28"/>
          <w:szCs w:val="24"/>
        </w:rPr>
        <w:t>日常职责</w:t>
      </w:r>
      <w:r>
        <w:rPr>
          <w:rFonts w:hint="eastAsia" w:ascii="楷体" w:hAnsi="楷体"/>
          <w:sz w:val="28"/>
          <w:szCs w:val="24"/>
        </w:rPr>
        <w:t>：负责水源地日常监测，及时上报并通报水源地水质异常信息。开展水源地污染防治的日常监督和管理。</w:t>
      </w:r>
    </w:p>
    <w:p>
      <w:pPr>
        <w:spacing w:beforeLines="0" w:afterLines="0"/>
        <w:rPr>
          <w:rFonts w:hint="eastAsia"/>
          <w:sz w:val="28"/>
          <w:szCs w:val="24"/>
        </w:rPr>
      </w:pPr>
      <w:r>
        <w:rPr>
          <w:rFonts w:hint="eastAsia"/>
          <w:b/>
          <w:sz w:val="28"/>
          <w:szCs w:val="24"/>
        </w:rPr>
        <w:t>应急职责</w:t>
      </w:r>
      <w:r>
        <w:rPr>
          <w:rFonts w:hint="eastAsia"/>
          <w:sz w:val="28"/>
          <w:szCs w:val="24"/>
        </w:rPr>
        <w:t>：负责应急监测，督促、指导有关部门和单位开展水源地污染物削减处置等工作</w:t>
      </w:r>
      <w:r>
        <w:rPr>
          <w:rFonts w:hint="eastAsia" w:ascii="楷体" w:hAnsi="楷体"/>
          <w:sz w:val="28"/>
          <w:szCs w:val="24"/>
        </w:rPr>
        <w:t>。</w:t>
      </w:r>
    </w:p>
    <w:p>
      <w:pPr>
        <w:spacing w:beforeLines="0" w:afterLines="0"/>
        <w:rPr>
          <w:rFonts w:hint="eastAsia" w:ascii="楷体" w:hAnsi="楷体"/>
          <w:sz w:val="28"/>
          <w:szCs w:val="24"/>
        </w:rPr>
      </w:pPr>
      <w:r>
        <w:rPr>
          <w:rFonts w:hint="eastAsia" w:ascii="楷体" w:hAnsi="楷体"/>
          <w:sz w:val="28"/>
          <w:szCs w:val="24"/>
        </w:rPr>
        <w:t>（2）铅山县财政局</w:t>
      </w:r>
    </w:p>
    <w:p>
      <w:pPr>
        <w:spacing w:beforeLines="0" w:afterLines="0"/>
        <w:rPr>
          <w:rFonts w:hint="eastAsia" w:ascii="楷体" w:hAnsi="楷体"/>
          <w:sz w:val="28"/>
          <w:szCs w:val="24"/>
        </w:rPr>
      </w:pPr>
      <w:r>
        <w:rPr>
          <w:rFonts w:hint="eastAsia" w:ascii="楷体" w:hAnsi="楷体"/>
          <w:b/>
          <w:sz w:val="28"/>
          <w:szCs w:val="24"/>
        </w:rPr>
        <w:t>日常职责</w:t>
      </w:r>
      <w:r>
        <w:rPr>
          <w:rFonts w:hint="eastAsia" w:ascii="楷体" w:hAnsi="楷体"/>
          <w:sz w:val="28"/>
          <w:szCs w:val="24"/>
        </w:rPr>
        <w:t>：负责保障水源地突发环境事件应急管理、处置工作经费。</w:t>
      </w:r>
    </w:p>
    <w:p>
      <w:pPr>
        <w:spacing w:beforeLines="0" w:afterLines="0"/>
        <w:rPr>
          <w:rFonts w:hint="eastAsia"/>
          <w:sz w:val="28"/>
          <w:szCs w:val="24"/>
        </w:rPr>
      </w:pPr>
      <w:r>
        <w:rPr>
          <w:rFonts w:hint="eastAsia"/>
          <w:b/>
          <w:sz w:val="28"/>
          <w:szCs w:val="24"/>
        </w:rPr>
        <w:t>应急职责</w:t>
      </w:r>
      <w:r>
        <w:rPr>
          <w:rFonts w:hint="eastAsia"/>
          <w:sz w:val="28"/>
          <w:szCs w:val="24"/>
        </w:rPr>
        <w:t>：</w:t>
      </w:r>
      <w:r>
        <w:rPr>
          <w:rFonts w:hint="eastAsia" w:ascii="楷体" w:hAnsi="楷体"/>
          <w:sz w:val="28"/>
          <w:szCs w:val="24"/>
        </w:rPr>
        <w:t>负责保障水源地突发环境事件应急处置期间的费用。</w:t>
      </w:r>
    </w:p>
    <w:p>
      <w:pPr>
        <w:spacing w:beforeLines="0" w:afterLines="0"/>
        <w:rPr>
          <w:rFonts w:hint="eastAsia" w:ascii="楷体" w:hAnsi="楷体"/>
          <w:sz w:val="28"/>
          <w:szCs w:val="24"/>
        </w:rPr>
      </w:pPr>
      <w:r>
        <w:rPr>
          <w:rFonts w:hint="eastAsia" w:ascii="楷体" w:hAnsi="楷体"/>
          <w:sz w:val="28"/>
          <w:szCs w:val="24"/>
        </w:rPr>
        <w:t>（3）铅山县自然资源局</w:t>
      </w:r>
    </w:p>
    <w:p>
      <w:pPr>
        <w:spacing w:beforeLines="0" w:afterLines="0"/>
        <w:rPr>
          <w:rFonts w:hint="eastAsia" w:ascii="楷体" w:hAnsi="楷体"/>
          <w:sz w:val="28"/>
          <w:szCs w:val="24"/>
        </w:rPr>
      </w:pPr>
      <w:r>
        <w:rPr>
          <w:rFonts w:hint="eastAsia" w:ascii="楷体" w:hAnsi="楷体"/>
          <w:b/>
          <w:sz w:val="28"/>
          <w:szCs w:val="24"/>
        </w:rPr>
        <w:t>日常职责</w:t>
      </w:r>
      <w:r>
        <w:rPr>
          <w:rFonts w:hint="eastAsia" w:ascii="楷体" w:hAnsi="楷体"/>
          <w:sz w:val="28"/>
          <w:szCs w:val="24"/>
        </w:rPr>
        <w:t>：规划、建设和管理适用于水源地突发环境事件应急处置的场地。</w:t>
      </w:r>
    </w:p>
    <w:p>
      <w:pPr>
        <w:spacing w:beforeLines="0" w:afterLines="0"/>
        <w:rPr>
          <w:rFonts w:hint="eastAsia"/>
          <w:sz w:val="28"/>
          <w:szCs w:val="24"/>
        </w:rPr>
      </w:pPr>
      <w:r>
        <w:rPr>
          <w:rFonts w:hint="eastAsia"/>
          <w:b/>
          <w:sz w:val="28"/>
          <w:szCs w:val="24"/>
        </w:rPr>
        <w:t>应急职责</w:t>
      </w:r>
      <w:r>
        <w:rPr>
          <w:rFonts w:hint="eastAsia"/>
          <w:sz w:val="28"/>
          <w:szCs w:val="24"/>
        </w:rPr>
        <w:t>：</w:t>
      </w:r>
      <w:r>
        <w:rPr>
          <w:rFonts w:hint="eastAsia" w:ascii="楷体" w:hAnsi="楷体"/>
          <w:sz w:val="28"/>
          <w:szCs w:val="24"/>
        </w:rPr>
        <w:t>负责保障水源地突发环境事件应急处置的场地。</w:t>
      </w:r>
    </w:p>
    <w:p>
      <w:pPr>
        <w:spacing w:beforeLines="0" w:afterLines="0"/>
        <w:rPr>
          <w:rFonts w:hint="eastAsia" w:ascii="楷体" w:hAnsi="楷体"/>
          <w:sz w:val="28"/>
          <w:szCs w:val="24"/>
        </w:rPr>
      </w:pPr>
      <w:r>
        <w:rPr>
          <w:rFonts w:hint="eastAsia" w:ascii="楷体" w:hAnsi="楷体"/>
          <w:sz w:val="28"/>
          <w:szCs w:val="24"/>
        </w:rPr>
        <w:t>（4）铅山县银龙水务有限公司</w:t>
      </w:r>
    </w:p>
    <w:p>
      <w:pPr>
        <w:spacing w:beforeLines="0" w:afterLines="0"/>
        <w:rPr>
          <w:rFonts w:hint="eastAsia" w:ascii="楷体" w:hAnsi="楷体"/>
          <w:sz w:val="28"/>
          <w:szCs w:val="24"/>
        </w:rPr>
      </w:pPr>
      <w:r>
        <w:rPr>
          <w:rFonts w:hint="eastAsia" w:ascii="楷体" w:hAnsi="楷体"/>
          <w:b/>
          <w:sz w:val="28"/>
          <w:szCs w:val="24"/>
        </w:rPr>
        <w:t>日常职责</w:t>
      </w:r>
      <w:r>
        <w:rPr>
          <w:rFonts w:hint="eastAsia" w:ascii="楷体" w:hAnsi="楷体"/>
          <w:sz w:val="28"/>
          <w:szCs w:val="24"/>
        </w:rPr>
        <w:t>：负责水厂日常管理工作，对水厂水质异常现象进行调查处理，及时上报并通报水厂水质异常信息。</w:t>
      </w:r>
    </w:p>
    <w:p>
      <w:pPr>
        <w:spacing w:beforeLines="0" w:afterLines="0"/>
        <w:rPr>
          <w:rFonts w:hint="eastAsia"/>
          <w:sz w:val="28"/>
          <w:szCs w:val="24"/>
        </w:rPr>
      </w:pPr>
      <w:r>
        <w:rPr>
          <w:rFonts w:hint="eastAsia"/>
          <w:b/>
          <w:sz w:val="28"/>
          <w:szCs w:val="24"/>
        </w:rPr>
        <w:t>应急职责</w:t>
      </w:r>
      <w:r>
        <w:rPr>
          <w:rFonts w:hint="eastAsia"/>
          <w:sz w:val="28"/>
          <w:szCs w:val="24"/>
        </w:rPr>
        <w:t>：</w:t>
      </w:r>
      <w:r>
        <w:rPr>
          <w:rFonts w:hint="eastAsia" w:ascii="楷体" w:hAnsi="楷体"/>
          <w:sz w:val="28"/>
          <w:szCs w:val="24"/>
        </w:rPr>
        <w:t>负责指导水厂的应急处置工作，组织水厂落实停止取水、启动深度处理设施和切换备用水源等应急工作安排。</w:t>
      </w:r>
    </w:p>
    <w:p>
      <w:pPr>
        <w:spacing w:beforeLines="0" w:afterLines="0"/>
        <w:rPr>
          <w:rFonts w:hint="eastAsia" w:ascii="楷体" w:hAnsi="楷体"/>
          <w:sz w:val="28"/>
          <w:szCs w:val="24"/>
        </w:rPr>
      </w:pPr>
      <w:r>
        <w:rPr>
          <w:rFonts w:hint="eastAsia" w:ascii="楷体" w:hAnsi="楷体"/>
          <w:sz w:val="28"/>
          <w:szCs w:val="24"/>
        </w:rPr>
        <w:t>（5）铅山县交通运输局</w:t>
      </w:r>
    </w:p>
    <w:p>
      <w:pPr>
        <w:spacing w:beforeLines="0" w:afterLines="0"/>
        <w:rPr>
          <w:rFonts w:hint="eastAsia" w:ascii="楷体" w:hAnsi="楷体"/>
          <w:sz w:val="28"/>
          <w:szCs w:val="24"/>
        </w:rPr>
      </w:pPr>
      <w:r>
        <w:rPr>
          <w:rFonts w:hint="eastAsia" w:ascii="楷体" w:hAnsi="楷体"/>
          <w:b/>
          <w:sz w:val="28"/>
          <w:szCs w:val="24"/>
        </w:rPr>
        <w:t>日常职责</w:t>
      </w:r>
      <w:r>
        <w:rPr>
          <w:rFonts w:hint="eastAsia" w:ascii="楷体" w:hAnsi="楷体"/>
          <w:sz w:val="28"/>
          <w:szCs w:val="24"/>
        </w:rPr>
        <w:t>：负责省道</w:t>
      </w:r>
      <w:r>
        <w:rPr>
          <w:rFonts w:hint="eastAsia"/>
          <w:sz w:val="28"/>
          <w:szCs w:val="24"/>
        </w:rPr>
        <w:t>S425</w:t>
      </w:r>
      <w:r>
        <w:rPr>
          <w:rFonts w:hint="eastAsia" w:ascii="楷体" w:hAnsi="楷体"/>
          <w:sz w:val="28"/>
          <w:szCs w:val="24"/>
        </w:rPr>
        <w:t>（永篁线）路段的日常应急管理工作，建设维护道路桥梁应急工程设施。</w:t>
      </w:r>
    </w:p>
    <w:p>
      <w:pPr>
        <w:spacing w:beforeLines="0" w:afterLines="0"/>
        <w:rPr>
          <w:rFonts w:hint="eastAsia"/>
          <w:sz w:val="28"/>
          <w:szCs w:val="24"/>
        </w:rPr>
      </w:pPr>
      <w:r>
        <w:rPr>
          <w:rFonts w:hint="eastAsia"/>
          <w:b/>
          <w:sz w:val="28"/>
          <w:szCs w:val="24"/>
        </w:rPr>
        <w:t>应急职责</w:t>
      </w:r>
      <w:r>
        <w:rPr>
          <w:rFonts w:hint="eastAsia"/>
          <w:sz w:val="28"/>
          <w:szCs w:val="24"/>
        </w:rPr>
        <w:t>：</w:t>
      </w:r>
      <w:r>
        <w:rPr>
          <w:rFonts w:hint="eastAsia" w:ascii="楷体" w:hAnsi="楷体"/>
          <w:sz w:val="28"/>
          <w:szCs w:val="24"/>
        </w:rPr>
        <w:t>协助处置交通事故次生的水源地突发环境事件，事故发生后及时启用伦潭水库饮用水水源保护区事故应急池，并负责保障应急物资运输车辆快速通行。</w:t>
      </w:r>
    </w:p>
    <w:p>
      <w:pPr>
        <w:spacing w:beforeLines="0" w:afterLines="0"/>
        <w:rPr>
          <w:rFonts w:hint="eastAsia" w:ascii="楷体" w:hAnsi="楷体"/>
          <w:sz w:val="28"/>
          <w:szCs w:val="24"/>
        </w:rPr>
      </w:pPr>
      <w:r>
        <w:rPr>
          <w:rFonts w:hint="eastAsia" w:ascii="楷体" w:hAnsi="楷体"/>
          <w:sz w:val="28"/>
          <w:szCs w:val="24"/>
        </w:rPr>
        <w:t>（6）铅山县水利局</w:t>
      </w:r>
    </w:p>
    <w:p>
      <w:pPr>
        <w:spacing w:beforeLines="0" w:afterLines="0"/>
        <w:rPr>
          <w:rFonts w:hint="eastAsia" w:ascii="楷体" w:hAnsi="楷体"/>
          <w:sz w:val="28"/>
          <w:szCs w:val="24"/>
        </w:rPr>
      </w:pPr>
      <w:r>
        <w:rPr>
          <w:rFonts w:hint="eastAsia" w:ascii="楷体" w:hAnsi="楷体"/>
          <w:b/>
          <w:sz w:val="28"/>
          <w:szCs w:val="24"/>
        </w:rPr>
        <w:t>日常职责</w:t>
      </w:r>
      <w:r>
        <w:rPr>
          <w:rFonts w:hint="eastAsia" w:ascii="楷体" w:hAnsi="楷体"/>
          <w:sz w:val="28"/>
          <w:szCs w:val="24"/>
        </w:rPr>
        <w:t>：负责指导水源地水利设施建设和管理；水源地日常管理。</w:t>
      </w:r>
    </w:p>
    <w:p>
      <w:pPr>
        <w:spacing w:beforeLines="0" w:afterLines="0"/>
        <w:rPr>
          <w:rFonts w:hint="eastAsia"/>
          <w:sz w:val="28"/>
          <w:szCs w:val="24"/>
        </w:rPr>
      </w:pPr>
      <w:r>
        <w:rPr>
          <w:rFonts w:hint="eastAsia"/>
          <w:b/>
          <w:sz w:val="28"/>
          <w:szCs w:val="24"/>
        </w:rPr>
        <w:t>应急职责</w:t>
      </w:r>
      <w:r>
        <w:rPr>
          <w:rFonts w:hint="eastAsia"/>
          <w:sz w:val="28"/>
          <w:szCs w:val="24"/>
        </w:rPr>
        <w:t>：</w:t>
      </w:r>
      <w:r>
        <w:rPr>
          <w:rFonts w:hint="eastAsia" w:ascii="楷体" w:hAnsi="楷体"/>
          <w:sz w:val="28"/>
          <w:szCs w:val="24"/>
        </w:rPr>
        <w:t>按照应急指挥部要求，利用水利工程进行污染团拦截、降污或调水稀释等工作。负责水资源的合理调度，开闭相关库区水闸，控制水源地水体需要的流速、流量，控制污染物扩散，减轻事故造成的影响；按照应急指挥部要求，提出应急水源调度方案，科学合理调度水资源，并及时报告应急水源地的可调水量，配合生态环境部门做好水源地的水质跟踪监测。</w:t>
      </w:r>
    </w:p>
    <w:p>
      <w:pPr>
        <w:spacing w:beforeLines="0" w:afterLines="0"/>
        <w:rPr>
          <w:rFonts w:hint="eastAsia" w:ascii="楷体" w:hAnsi="楷体"/>
          <w:sz w:val="28"/>
          <w:szCs w:val="24"/>
        </w:rPr>
      </w:pPr>
      <w:r>
        <w:rPr>
          <w:rFonts w:hint="eastAsia" w:ascii="楷体" w:hAnsi="楷体"/>
          <w:sz w:val="28"/>
          <w:szCs w:val="24"/>
        </w:rPr>
        <w:t>（7）铅山县农业农村局</w:t>
      </w:r>
    </w:p>
    <w:p>
      <w:pPr>
        <w:spacing w:beforeLines="0" w:afterLines="0"/>
        <w:rPr>
          <w:rFonts w:hint="eastAsia" w:ascii="楷体" w:hAnsi="楷体"/>
          <w:sz w:val="28"/>
          <w:szCs w:val="24"/>
        </w:rPr>
      </w:pPr>
      <w:r>
        <w:rPr>
          <w:rFonts w:hint="eastAsia" w:ascii="楷体" w:hAnsi="楷体"/>
          <w:b/>
          <w:sz w:val="28"/>
          <w:szCs w:val="24"/>
        </w:rPr>
        <w:t>日常职责</w:t>
      </w:r>
      <w:r>
        <w:rPr>
          <w:rFonts w:hint="eastAsia" w:ascii="楷体" w:hAnsi="楷体"/>
          <w:sz w:val="28"/>
          <w:szCs w:val="24"/>
        </w:rPr>
        <w:t>：管理暴雨期间入河农灌退水排放行为，防范农业面源导致的水源地突发环境事件。</w:t>
      </w:r>
    </w:p>
    <w:p>
      <w:pPr>
        <w:spacing w:beforeLines="0" w:afterLines="0"/>
        <w:rPr>
          <w:rFonts w:hint="eastAsia"/>
          <w:sz w:val="28"/>
          <w:szCs w:val="24"/>
        </w:rPr>
      </w:pPr>
      <w:r>
        <w:rPr>
          <w:rFonts w:hint="eastAsia"/>
          <w:b/>
          <w:sz w:val="28"/>
          <w:szCs w:val="24"/>
        </w:rPr>
        <w:t>应急职责</w:t>
      </w:r>
      <w:r>
        <w:rPr>
          <w:rFonts w:hint="eastAsia"/>
          <w:sz w:val="28"/>
          <w:szCs w:val="24"/>
        </w:rPr>
        <w:t>：</w:t>
      </w:r>
      <w:r>
        <w:rPr>
          <w:rFonts w:hint="eastAsia" w:ascii="楷体" w:hAnsi="楷体"/>
          <w:sz w:val="28"/>
          <w:szCs w:val="24"/>
        </w:rPr>
        <w:t>协助处置因农业面源导致的水源地突发环境事件。水源地具备农灌功能，在应急期间协助周边村庄暂停农灌取水。</w:t>
      </w:r>
    </w:p>
    <w:p>
      <w:pPr>
        <w:spacing w:beforeLines="0" w:afterLines="0"/>
        <w:rPr>
          <w:rFonts w:hint="eastAsia" w:ascii="楷体" w:hAnsi="楷体"/>
          <w:sz w:val="28"/>
          <w:szCs w:val="24"/>
        </w:rPr>
      </w:pPr>
      <w:r>
        <w:rPr>
          <w:rFonts w:hint="eastAsia" w:ascii="楷体" w:hAnsi="楷体"/>
          <w:sz w:val="28"/>
          <w:szCs w:val="24"/>
        </w:rPr>
        <w:t>（8）铅山县卫生健康委员会</w:t>
      </w:r>
    </w:p>
    <w:p>
      <w:pPr>
        <w:spacing w:beforeLines="0" w:afterLines="0"/>
        <w:rPr>
          <w:rFonts w:hint="eastAsia" w:ascii="楷体" w:hAnsi="楷体"/>
          <w:sz w:val="28"/>
          <w:szCs w:val="24"/>
        </w:rPr>
      </w:pPr>
      <w:r>
        <w:rPr>
          <w:rFonts w:hint="eastAsia" w:ascii="楷体" w:hAnsi="楷体"/>
          <w:b/>
          <w:sz w:val="28"/>
          <w:szCs w:val="24"/>
        </w:rPr>
        <w:t>日常职责</w:t>
      </w:r>
      <w:r>
        <w:rPr>
          <w:rFonts w:hint="eastAsia" w:ascii="楷体" w:hAnsi="楷体"/>
          <w:sz w:val="28"/>
          <w:szCs w:val="24"/>
        </w:rPr>
        <w:t>：负责水厂自来水管网末梢水水质卫生日常管理，及时上报并通报管网末梢水水质异常信息。</w:t>
      </w:r>
    </w:p>
    <w:p>
      <w:pPr>
        <w:spacing w:beforeLines="0" w:afterLines="0"/>
        <w:rPr>
          <w:rFonts w:hint="eastAsia"/>
          <w:sz w:val="28"/>
          <w:szCs w:val="24"/>
        </w:rPr>
      </w:pPr>
      <w:r>
        <w:rPr>
          <w:rFonts w:hint="eastAsia"/>
          <w:b/>
          <w:sz w:val="28"/>
          <w:szCs w:val="24"/>
        </w:rPr>
        <w:t>应急职责</w:t>
      </w:r>
      <w:r>
        <w:rPr>
          <w:rFonts w:hint="eastAsia"/>
          <w:sz w:val="28"/>
          <w:szCs w:val="24"/>
        </w:rPr>
        <w:t>：</w:t>
      </w:r>
      <w:r>
        <w:rPr>
          <w:rFonts w:hint="eastAsia" w:ascii="楷体" w:hAnsi="楷体"/>
          <w:sz w:val="28"/>
          <w:szCs w:val="24"/>
        </w:rPr>
        <w:t>负责水厂管网末梢水水质应急监测，确保启用应急水源期间居民饮水卫生安全。</w:t>
      </w:r>
    </w:p>
    <w:p>
      <w:pPr>
        <w:spacing w:beforeLines="0" w:afterLines="0"/>
        <w:rPr>
          <w:rFonts w:hint="eastAsia" w:ascii="楷体" w:hAnsi="楷体"/>
          <w:sz w:val="28"/>
          <w:szCs w:val="24"/>
        </w:rPr>
      </w:pPr>
      <w:r>
        <w:rPr>
          <w:rFonts w:hint="eastAsia" w:ascii="楷体" w:hAnsi="楷体"/>
          <w:sz w:val="28"/>
          <w:szCs w:val="24"/>
        </w:rPr>
        <w:t>（9）铅山县应急管理局</w:t>
      </w:r>
    </w:p>
    <w:p>
      <w:pPr>
        <w:spacing w:beforeLines="0" w:afterLines="0"/>
        <w:rPr>
          <w:rFonts w:hint="eastAsia" w:ascii="楷体" w:hAnsi="楷体"/>
          <w:sz w:val="28"/>
          <w:szCs w:val="24"/>
        </w:rPr>
      </w:pPr>
      <w:r>
        <w:rPr>
          <w:rFonts w:hint="eastAsia" w:ascii="楷体" w:hAnsi="楷体"/>
          <w:b/>
          <w:sz w:val="28"/>
          <w:szCs w:val="24"/>
        </w:rPr>
        <w:t>日常职责</w:t>
      </w:r>
      <w:r>
        <w:rPr>
          <w:rFonts w:hint="eastAsia" w:ascii="楷体" w:hAnsi="楷体"/>
          <w:sz w:val="28"/>
          <w:szCs w:val="24"/>
        </w:rPr>
        <w:t>：负责有关应急物资的日常维护管理。</w:t>
      </w:r>
    </w:p>
    <w:p>
      <w:pPr>
        <w:spacing w:beforeLines="0" w:afterLines="0"/>
        <w:rPr>
          <w:rFonts w:hint="eastAsia"/>
          <w:sz w:val="28"/>
          <w:szCs w:val="24"/>
        </w:rPr>
      </w:pPr>
      <w:r>
        <w:rPr>
          <w:rFonts w:hint="eastAsia"/>
          <w:b/>
          <w:sz w:val="28"/>
          <w:szCs w:val="24"/>
        </w:rPr>
        <w:t>应急职责</w:t>
      </w:r>
      <w:r>
        <w:rPr>
          <w:rFonts w:hint="eastAsia"/>
          <w:sz w:val="28"/>
          <w:szCs w:val="24"/>
        </w:rPr>
        <w:t>：</w:t>
      </w:r>
      <w:r>
        <w:rPr>
          <w:rFonts w:hint="eastAsia" w:ascii="楷体" w:hAnsi="楷体"/>
          <w:sz w:val="28"/>
          <w:szCs w:val="24"/>
        </w:rPr>
        <w:t>负责有关应急物资的使用管理。</w:t>
      </w:r>
    </w:p>
    <w:p>
      <w:pPr>
        <w:spacing w:beforeLines="0" w:afterLines="0"/>
        <w:rPr>
          <w:rFonts w:hint="eastAsia" w:ascii="楷体" w:hAnsi="楷体"/>
          <w:sz w:val="28"/>
          <w:szCs w:val="24"/>
        </w:rPr>
      </w:pPr>
      <w:r>
        <w:rPr>
          <w:rFonts w:hint="eastAsia" w:ascii="楷体" w:hAnsi="楷体"/>
          <w:sz w:val="28"/>
          <w:szCs w:val="24"/>
        </w:rPr>
        <w:t>（10）铅山县气象局</w:t>
      </w:r>
    </w:p>
    <w:p>
      <w:pPr>
        <w:spacing w:beforeLines="0" w:afterLines="0"/>
        <w:rPr>
          <w:rFonts w:hint="eastAsia" w:ascii="楷体" w:hAnsi="楷体"/>
          <w:sz w:val="28"/>
          <w:szCs w:val="24"/>
        </w:rPr>
      </w:pPr>
      <w:r>
        <w:rPr>
          <w:rFonts w:hint="eastAsia" w:ascii="楷体" w:hAnsi="楷体"/>
          <w:b/>
          <w:sz w:val="28"/>
          <w:szCs w:val="24"/>
        </w:rPr>
        <w:t>日常职责</w:t>
      </w:r>
      <w:r>
        <w:rPr>
          <w:rFonts w:hint="eastAsia" w:ascii="楷体" w:hAnsi="楷体"/>
          <w:sz w:val="28"/>
          <w:szCs w:val="24"/>
        </w:rPr>
        <w:t>：及时上报、通报和发布周边区域暴雨等气象信息。</w:t>
      </w:r>
    </w:p>
    <w:p>
      <w:pPr>
        <w:spacing w:beforeLines="0" w:afterLines="0"/>
        <w:rPr>
          <w:rFonts w:hint="eastAsia"/>
          <w:sz w:val="28"/>
          <w:szCs w:val="24"/>
        </w:rPr>
      </w:pPr>
      <w:r>
        <w:rPr>
          <w:rFonts w:hint="eastAsia"/>
          <w:b/>
          <w:sz w:val="28"/>
          <w:szCs w:val="24"/>
        </w:rPr>
        <w:t>应急职责</w:t>
      </w:r>
      <w:r>
        <w:rPr>
          <w:rFonts w:hint="eastAsia"/>
          <w:sz w:val="28"/>
          <w:szCs w:val="24"/>
        </w:rPr>
        <w:t>：</w:t>
      </w:r>
      <w:r>
        <w:rPr>
          <w:rFonts w:hint="eastAsia" w:ascii="楷体" w:hAnsi="楷体"/>
          <w:sz w:val="28"/>
          <w:szCs w:val="24"/>
        </w:rPr>
        <w:t>负责应急期间提供水源地周边气象信息。</w:t>
      </w:r>
    </w:p>
    <w:p>
      <w:pPr>
        <w:spacing w:beforeLines="0" w:afterLines="0"/>
        <w:rPr>
          <w:rFonts w:hint="eastAsia" w:ascii="楷体" w:hAnsi="楷体"/>
          <w:sz w:val="28"/>
          <w:szCs w:val="24"/>
        </w:rPr>
      </w:pPr>
      <w:r>
        <w:rPr>
          <w:rFonts w:hint="eastAsia" w:ascii="楷体" w:hAnsi="楷体"/>
          <w:sz w:val="28"/>
          <w:szCs w:val="24"/>
        </w:rPr>
        <w:t>（11）铅山县公安局</w:t>
      </w:r>
    </w:p>
    <w:p>
      <w:pPr>
        <w:spacing w:beforeLines="0" w:afterLines="0"/>
        <w:rPr>
          <w:rFonts w:hint="eastAsia" w:ascii="楷体" w:hAnsi="楷体"/>
          <w:sz w:val="28"/>
          <w:szCs w:val="24"/>
        </w:rPr>
      </w:pPr>
      <w:r>
        <w:rPr>
          <w:rFonts w:hint="eastAsia"/>
          <w:b/>
          <w:sz w:val="28"/>
          <w:szCs w:val="24"/>
        </w:rPr>
        <w:t>应急职责</w:t>
      </w:r>
      <w:r>
        <w:rPr>
          <w:rFonts w:hint="eastAsia"/>
          <w:sz w:val="28"/>
          <w:szCs w:val="24"/>
        </w:rPr>
        <w:t>：</w:t>
      </w:r>
      <w:r>
        <w:rPr>
          <w:rFonts w:hint="eastAsia" w:ascii="楷体" w:hAnsi="楷体"/>
          <w:sz w:val="28"/>
          <w:szCs w:val="24"/>
        </w:rPr>
        <w:t>受理有关水源保护区的社会报警信息，负责应急救援交通管制，对重要目标、危险区域实施现场警戒和交通道路管制，负责突发饮用水水源环境事件中涉嫌犯罪案件的侦查、事故现场的保护、维护社会治安秩序，打击各种借机散布谣言、恶意破坏等违法犯罪。</w:t>
      </w:r>
    </w:p>
    <w:p>
      <w:pPr>
        <w:spacing w:beforeLines="0" w:afterLines="0"/>
        <w:rPr>
          <w:rFonts w:hint="eastAsia" w:ascii="楷体" w:hAnsi="楷体"/>
          <w:sz w:val="28"/>
          <w:szCs w:val="24"/>
        </w:rPr>
      </w:pPr>
      <w:r>
        <w:rPr>
          <w:rFonts w:hint="eastAsia" w:ascii="楷体" w:hAnsi="楷体"/>
          <w:sz w:val="28"/>
          <w:szCs w:val="24"/>
        </w:rPr>
        <w:t>（12）铅山县消防救援大队</w:t>
      </w:r>
    </w:p>
    <w:p>
      <w:pPr>
        <w:spacing w:beforeLines="0" w:afterLines="0"/>
        <w:rPr>
          <w:rFonts w:hint="eastAsia" w:ascii="楷体" w:hAnsi="楷体"/>
          <w:sz w:val="28"/>
          <w:szCs w:val="24"/>
        </w:rPr>
      </w:pPr>
      <w:r>
        <w:rPr>
          <w:rFonts w:hint="eastAsia"/>
          <w:b/>
          <w:sz w:val="28"/>
          <w:szCs w:val="24"/>
        </w:rPr>
        <w:t>应急职责</w:t>
      </w:r>
      <w:r>
        <w:rPr>
          <w:rFonts w:hint="eastAsia"/>
          <w:sz w:val="28"/>
          <w:szCs w:val="24"/>
        </w:rPr>
        <w:t>：</w:t>
      </w:r>
      <w:r>
        <w:rPr>
          <w:rFonts w:hint="eastAsia" w:ascii="楷体" w:hAnsi="楷体"/>
          <w:sz w:val="28"/>
          <w:szCs w:val="24"/>
        </w:rPr>
        <w:t>在处置火灾爆炸事故时，防止消防水进入水源地及其连接水体。</w:t>
      </w:r>
    </w:p>
    <w:p>
      <w:pPr>
        <w:spacing w:beforeLines="0" w:afterLines="0"/>
        <w:rPr>
          <w:rFonts w:hint="eastAsia" w:ascii="楷体" w:hAnsi="楷体"/>
          <w:sz w:val="28"/>
          <w:szCs w:val="24"/>
        </w:rPr>
      </w:pPr>
      <w:r>
        <w:rPr>
          <w:rFonts w:hint="eastAsia" w:ascii="楷体" w:hAnsi="楷体"/>
          <w:sz w:val="28"/>
          <w:szCs w:val="24"/>
        </w:rPr>
        <w:t>（13）铅山县委宣传部</w:t>
      </w:r>
    </w:p>
    <w:p>
      <w:pPr>
        <w:spacing w:beforeLines="0" w:afterLines="0"/>
        <w:rPr>
          <w:rFonts w:hint="eastAsia"/>
          <w:b/>
          <w:sz w:val="28"/>
          <w:szCs w:val="24"/>
        </w:rPr>
      </w:pPr>
      <w:r>
        <w:rPr>
          <w:rFonts w:hint="eastAsia" w:ascii="楷体" w:hAnsi="楷体"/>
          <w:b/>
          <w:sz w:val="28"/>
          <w:szCs w:val="24"/>
        </w:rPr>
        <w:t>日常职责</w:t>
      </w:r>
      <w:r>
        <w:rPr>
          <w:rFonts w:hint="eastAsia" w:ascii="楷体" w:hAnsi="楷体"/>
          <w:sz w:val="28"/>
          <w:szCs w:val="24"/>
        </w:rPr>
        <w:t>：</w:t>
      </w:r>
      <w:r>
        <w:rPr>
          <w:rFonts w:hint="eastAsia"/>
          <w:sz w:val="28"/>
          <w:szCs w:val="24"/>
        </w:rPr>
        <w:t>日常做好应对集中式饮用水源突发环境事件社会宣传工作。</w:t>
      </w:r>
    </w:p>
    <w:p>
      <w:pPr>
        <w:spacing w:beforeLines="0" w:afterLines="0"/>
        <w:rPr>
          <w:rFonts w:hint="eastAsia" w:ascii="楷体" w:hAnsi="楷体"/>
          <w:sz w:val="28"/>
          <w:szCs w:val="24"/>
        </w:rPr>
      </w:pPr>
      <w:r>
        <w:rPr>
          <w:rFonts w:hint="eastAsia"/>
          <w:b/>
          <w:sz w:val="28"/>
          <w:szCs w:val="24"/>
        </w:rPr>
        <w:t>应急职责</w:t>
      </w:r>
      <w:r>
        <w:rPr>
          <w:rFonts w:hint="eastAsia"/>
          <w:sz w:val="28"/>
          <w:szCs w:val="24"/>
        </w:rPr>
        <w:t>：</w:t>
      </w:r>
      <w:r>
        <w:rPr>
          <w:rFonts w:hint="eastAsia" w:ascii="楷体" w:hAnsi="楷体"/>
          <w:sz w:val="28"/>
          <w:szCs w:val="24"/>
        </w:rPr>
        <w:t>负责应急期间的新闻发布、对外通报和信息公开等工作。</w:t>
      </w:r>
    </w:p>
    <w:p>
      <w:pPr>
        <w:spacing w:beforeLines="0" w:afterLines="0"/>
        <w:rPr>
          <w:rFonts w:hint="eastAsia" w:ascii="楷体" w:hAnsi="楷体"/>
          <w:sz w:val="28"/>
          <w:szCs w:val="24"/>
        </w:rPr>
      </w:pPr>
      <w:r>
        <w:rPr>
          <w:rFonts w:hint="eastAsia" w:ascii="楷体" w:hAnsi="楷体"/>
          <w:sz w:val="28"/>
          <w:szCs w:val="24"/>
        </w:rPr>
        <w:t>（14）天柱山乡人民政府、篁碧畲族乡人民政府、葛仙山镇人民政府、陈坊乡人民政府</w:t>
      </w:r>
    </w:p>
    <w:p>
      <w:pPr>
        <w:spacing w:beforeLines="0" w:afterLines="0"/>
        <w:rPr>
          <w:rFonts w:hint="eastAsia" w:ascii="楷体" w:hAnsi="楷体"/>
          <w:sz w:val="28"/>
          <w:szCs w:val="24"/>
        </w:rPr>
      </w:pPr>
      <w:r>
        <w:rPr>
          <w:rFonts w:hint="eastAsia"/>
          <w:b/>
          <w:sz w:val="28"/>
          <w:szCs w:val="24"/>
        </w:rPr>
        <w:t>应急职责</w:t>
      </w:r>
      <w:r>
        <w:rPr>
          <w:rFonts w:hint="eastAsia"/>
          <w:sz w:val="28"/>
          <w:szCs w:val="24"/>
        </w:rPr>
        <w:t>：</w:t>
      </w:r>
      <w:r>
        <w:rPr>
          <w:rFonts w:hint="eastAsia" w:ascii="楷体" w:hAnsi="楷体"/>
          <w:sz w:val="28"/>
          <w:szCs w:val="24"/>
        </w:rPr>
        <w:t>协助有关部门开展突发环境事件监测预警、调运应急物质、信息报送、社会动员、应急宣传教育等工作。</w:t>
      </w:r>
    </w:p>
    <w:p>
      <w:pPr>
        <w:spacing w:beforeLines="0" w:afterLines="0"/>
        <w:rPr>
          <w:rFonts w:hint="eastAsia"/>
          <w:sz w:val="28"/>
          <w:szCs w:val="24"/>
        </w:rPr>
      </w:pPr>
      <w:r>
        <w:rPr>
          <w:rFonts w:hint="eastAsia"/>
          <w:sz w:val="28"/>
          <w:szCs w:val="24"/>
        </w:rPr>
        <w:t>本预案未列出的其它部门和单位根据饮用水水源环境事件应急指挥部指令，按照本部门、本单位职责和应急处置需要，依法做好饮用水水源突发环境事件应急处置的相关工作。突发环境事件现场应急指挥部的组成及工作职责详见附件4。</w:t>
      </w:r>
    </w:p>
    <w:p>
      <w:pPr>
        <w:pStyle w:val="5"/>
        <w:spacing w:beforeLines="0" w:afterLines="0"/>
        <w:rPr>
          <w:rFonts w:hint="eastAsia"/>
          <w:sz w:val="36"/>
          <w:szCs w:val="24"/>
        </w:rPr>
      </w:pPr>
      <w:bookmarkStart w:id="21" w:name="_Toc24446"/>
      <w:r>
        <w:rPr>
          <w:rFonts w:hint="eastAsia"/>
          <w:sz w:val="36"/>
          <w:szCs w:val="24"/>
        </w:rPr>
        <w:t>现场应急指挥部</w:t>
      </w:r>
      <w:bookmarkEnd w:id="21"/>
    </w:p>
    <w:p>
      <w:pPr>
        <w:spacing w:beforeLines="0" w:afterLines="0"/>
        <w:rPr>
          <w:rFonts w:hint="eastAsia"/>
          <w:sz w:val="28"/>
          <w:szCs w:val="24"/>
        </w:rPr>
      </w:pPr>
      <w:r>
        <w:rPr>
          <w:rFonts w:hint="eastAsia"/>
          <w:sz w:val="28"/>
          <w:szCs w:val="24"/>
        </w:rPr>
        <w:t>接到信息报告的铅山县人民政府应立即组织应急管理局、生态环境局、水利局、卫健委等部门及应急专家组中相关人员进行会商，研判水质变化趋势，若判断可能对伦潭水库水源地水质造成影响，应立即通知应急管理局、生态环境局、水利局、卫健委等有关成员单位和职能部门赶赴现场，成立现场应急指挥部，全面负责指挥、组织和协调水源地保护区突发环境事件的应急响应工作。</w:t>
      </w:r>
    </w:p>
    <w:p>
      <w:pPr>
        <w:spacing w:beforeLines="0" w:afterLines="0"/>
        <w:rPr>
          <w:rFonts w:hint="eastAsia"/>
          <w:sz w:val="28"/>
          <w:szCs w:val="24"/>
        </w:rPr>
      </w:pPr>
      <w:r>
        <w:rPr>
          <w:rFonts w:hint="eastAsia"/>
          <w:sz w:val="28"/>
          <w:szCs w:val="24"/>
        </w:rPr>
        <w:t>现场应急指挥部总指挥由分管生态环境的副县长担任，由应急管理局、生态环境局、水利局主要领导任副总指挥，现场应急指挥部下设应急处置组、应急监测组、应急供水保障组、应急物资保障组、应急专家组和综合组等现场应急工作组，各现场应急工作组建立储备成员库，以备突发环境事件发生时选用。</w:t>
      </w:r>
    </w:p>
    <w:p>
      <w:pPr>
        <w:spacing w:beforeLines="0" w:afterLines="0"/>
        <w:rPr>
          <w:rFonts w:hint="eastAsia"/>
          <w:sz w:val="28"/>
          <w:szCs w:val="24"/>
        </w:rPr>
      </w:pPr>
      <w:r>
        <w:rPr>
          <w:rFonts w:hint="eastAsia"/>
          <w:sz w:val="28"/>
          <w:szCs w:val="24"/>
        </w:rPr>
        <w:t>现场应急指挥部职责：</w:t>
      </w:r>
    </w:p>
    <w:p>
      <w:pPr>
        <w:spacing w:beforeLines="0" w:afterLines="0"/>
        <w:rPr>
          <w:rFonts w:hint="eastAsia"/>
          <w:sz w:val="28"/>
          <w:szCs w:val="24"/>
        </w:rPr>
      </w:pPr>
      <w:r>
        <w:rPr>
          <w:rFonts w:hint="eastAsia"/>
          <w:sz w:val="28"/>
          <w:szCs w:val="24"/>
        </w:rPr>
        <w:t>（1）执行应急指挥部处置饮用水源保护区环境污染事故的决策和指令；</w:t>
      </w:r>
    </w:p>
    <w:p>
      <w:pPr>
        <w:spacing w:beforeLines="0" w:afterLines="0"/>
        <w:rPr>
          <w:rFonts w:hint="eastAsia"/>
          <w:sz w:val="28"/>
          <w:szCs w:val="24"/>
        </w:rPr>
      </w:pPr>
      <w:r>
        <w:rPr>
          <w:rFonts w:hint="eastAsia"/>
          <w:sz w:val="28"/>
          <w:szCs w:val="24"/>
        </w:rPr>
        <w:t>（2）迅速了解污染事故相关情况及已采取的先期处置情况，及时掌握事件发展趋势，研究制定处置方案并组织实施；</w:t>
      </w:r>
    </w:p>
    <w:p>
      <w:pPr>
        <w:spacing w:beforeLines="0" w:afterLines="0"/>
        <w:rPr>
          <w:rFonts w:hint="eastAsia"/>
          <w:sz w:val="28"/>
          <w:szCs w:val="24"/>
        </w:rPr>
      </w:pPr>
      <w:r>
        <w:rPr>
          <w:rFonts w:hint="eastAsia"/>
          <w:sz w:val="28"/>
          <w:szCs w:val="24"/>
        </w:rPr>
        <w:t>（3）及时将现场的各种重要情况向应急指挥部报告；</w:t>
      </w:r>
    </w:p>
    <w:p>
      <w:pPr>
        <w:spacing w:beforeLines="0" w:afterLines="0"/>
        <w:rPr>
          <w:rFonts w:hint="eastAsia"/>
          <w:sz w:val="28"/>
          <w:szCs w:val="24"/>
        </w:rPr>
      </w:pPr>
      <w:r>
        <w:rPr>
          <w:rFonts w:hint="eastAsia"/>
          <w:sz w:val="28"/>
          <w:szCs w:val="24"/>
        </w:rPr>
        <w:t>（4）调度人员、设备、物资等，组织应急小组赶赴现场，指挥应急小组展开行动；</w:t>
      </w:r>
    </w:p>
    <w:p>
      <w:pPr>
        <w:spacing w:beforeLines="0" w:afterLines="0"/>
        <w:rPr>
          <w:rFonts w:hint="eastAsia"/>
          <w:sz w:val="28"/>
          <w:szCs w:val="24"/>
        </w:rPr>
      </w:pPr>
      <w:r>
        <w:rPr>
          <w:rFonts w:hint="eastAsia"/>
          <w:sz w:val="28"/>
          <w:szCs w:val="24"/>
        </w:rPr>
        <w:t>（5）通知铅山生态环境监测技术中心或卫生（疾控）部门进行监测分析，确定污染程度；</w:t>
      </w:r>
    </w:p>
    <w:p>
      <w:pPr>
        <w:spacing w:beforeLines="0" w:afterLines="0"/>
        <w:rPr>
          <w:rFonts w:hint="eastAsia"/>
          <w:sz w:val="28"/>
          <w:szCs w:val="24"/>
        </w:rPr>
      </w:pPr>
      <w:r>
        <w:rPr>
          <w:rFonts w:hint="eastAsia"/>
          <w:sz w:val="28"/>
          <w:szCs w:val="24"/>
        </w:rPr>
        <w:t>（6）根据现场调查结果和专家意见，确定事故处置的技术措施；指挥各部门指定人员进行现场调查、取证工作；</w:t>
      </w:r>
    </w:p>
    <w:p>
      <w:pPr>
        <w:spacing w:beforeLines="0" w:afterLines="0"/>
        <w:rPr>
          <w:rFonts w:hint="eastAsia"/>
          <w:sz w:val="28"/>
          <w:szCs w:val="24"/>
        </w:rPr>
      </w:pPr>
      <w:r>
        <w:rPr>
          <w:rFonts w:hint="eastAsia"/>
          <w:sz w:val="28"/>
          <w:szCs w:val="24"/>
        </w:rPr>
        <w:t>（7）指挥污染区域的警戒工作，指挥污染物的处置工作；</w:t>
      </w:r>
    </w:p>
    <w:p>
      <w:pPr>
        <w:spacing w:beforeLines="0" w:afterLines="0"/>
        <w:rPr>
          <w:rFonts w:hint="eastAsia"/>
          <w:sz w:val="28"/>
          <w:szCs w:val="24"/>
        </w:rPr>
      </w:pPr>
      <w:r>
        <w:rPr>
          <w:rFonts w:hint="eastAsia"/>
          <w:sz w:val="28"/>
          <w:szCs w:val="24"/>
        </w:rPr>
        <w:t>（8）负责对外协调沟通、事故分析、信息上报工作。</w:t>
      </w:r>
    </w:p>
    <w:p>
      <w:pPr>
        <w:spacing w:beforeLines="0" w:afterLines="0"/>
        <w:rPr>
          <w:rFonts w:hint="eastAsia"/>
          <w:sz w:val="28"/>
          <w:szCs w:val="24"/>
        </w:rPr>
      </w:pPr>
      <w:r>
        <w:rPr>
          <w:rFonts w:hint="eastAsia"/>
          <w:sz w:val="28"/>
          <w:szCs w:val="24"/>
        </w:rPr>
        <w:t>（9）调派救援设备器材、人员车辆等。</w:t>
      </w:r>
    </w:p>
    <w:p>
      <w:pPr>
        <w:pStyle w:val="5"/>
        <w:spacing w:beforeLines="0" w:afterLines="0"/>
        <w:rPr>
          <w:rFonts w:hint="eastAsia"/>
          <w:sz w:val="36"/>
          <w:szCs w:val="24"/>
        </w:rPr>
      </w:pPr>
      <w:bookmarkStart w:id="22" w:name="_Toc9222"/>
      <w:r>
        <w:rPr>
          <w:rFonts w:hint="eastAsia"/>
          <w:sz w:val="36"/>
          <w:szCs w:val="24"/>
        </w:rPr>
        <w:t>现场应急工作组</w:t>
      </w:r>
      <w:bookmarkEnd w:id="22"/>
    </w:p>
    <w:p>
      <w:pPr>
        <w:spacing w:beforeLines="0" w:afterLines="0"/>
        <w:rPr>
          <w:rFonts w:hint="eastAsia"/>
          <w:sz w:val="28"/>
          <w:szCs w:val="24"/>
        </w:rPr>
      </w:pPr>
      <w:r>
        <w:rPr>
          <w:rFonts w:hint="eastAsia"/>
          <w:sz w:val="28"/>
          <w:szCs w:val="24"/>
        </w:rPr>
        <w:t>铅山县县级饮用水水源地突发环境事件现场应急工作组主要由应急处置组、应急监测组、应急供水保障组、应急物资保障组、应急专家组和综合组组成。</w:t>
      </w:r>
    </w:p>
    <w:p>
      <w:pPr>
        <w:pStyle w:val="6"/>
        <w:spacing w:beforeLines="0" w:afterLines="0"/>
        <w:rPr>
          <w:rFonts w:hint="eastAsia"/>
          <w:sz w:val="32"/>
          <w:szCs w:val="24"/>
        </w:rPr>
      </w:pPr>
      <w:bookmarkStart w:id="23" w:name="_Toc20712"/>
      <w:r>
        <w:rPr>
          <w:rFonts w:hint="eastAsia"/>
          <w:sz w:val="32"/>
          <w:szCs w:val="24"/>
        </w:rPr>
        <w:t>应急处置组</w:t>
      </w:r>
      <w:bookmarkEnd w:id="23"/>
    </w:p>
    <w:p>
      <w:pPr>
        <w:spacing w:beforeLines="0" w:afterLines="0"/>
        <w:rPr>
          <w:rFonts w:hint="eastAsia"/>
          <w:sz w:val="28"/>
          <w:szCs w:val="24"/>
        </w:rPr>
      </w:pPr>
      <w:r>
        <w:rPr>
          <w:rFonts w:hint="eastAsia"/>
          <w:sz w:val="28"/>
          <w:szCs w:val="24"/>
        </w:rPr>
        <w:t>（1）主要成员</w:t>
      </w:r>
    </w:p>
    <w:p>
      <w:pPr>
        <w:spacing w:beforeLines="0" w:afterLines="0"/>
        <w:rPr>
          <w:rFonts w:hint="eastAsia"/>
          <w:sz w:val="28"/>
          <w:szCs w:val="24"/>
        </w:rPr>
      </w:pPr>
      <w:r>
        <w:rPr>
          <w:rFonts w:hint="eastAsia"/>
          <w:sz w:val="28"/>
          <w:szCs w:val="24"/>
        </w:rPr>
        <w:t>应急处置组为现场应急处置机构，由上饶市铅山生态环境局牵头，上饶市铅山生态环境局分管环境应急副局长担任组长，成员由铅山县水利局、应急管理局、住建局、农业农村局、交通运输局、卫生健康委、消防救援大队、铅山县银龙水务有限公司等相关部门负责人组成。</w:t>
      </w:r>
    </w:p>
    <w:p>
      <w:pPr>
        <w:spacing w:beforeLines="0" w:afterLines="0"/>
        <w:rPr>
          <w:rFonts w:hint="eastAsia"/>
          <w:sz w:val="28"/>
          <w:szCs w:val="24"/>
        </w:rPr>
      </w:pPr>
      <w:r>
        <w:rPr>
          <w:rFonts w:hint="eastAsia"/>
          <w:sz w:val="28"/>
          <w:szCs w:val="24"/>
        </w:rPr>
        <w:t>（2）主要职责</w:t>
      </w:r>
    </w:p>
    <w:p>
      <w:pPr>
        <w:spacing w:beforeLines="0" w:afterLines="0"/>
        <w:rPr>
          <w:rFonts w:hint="eastAsia" w:ascii="楷体" w:hAnsi="楷体"/>
          <w:sz w:val="28"/>
          <w:szCs w:val="24"/>
        </w:rPr>
      </w:pPr>
      <w:r>
        <w:rPr>
          <w:rFonts w:hint="eastAsia" w:ascii="楷体" w:hAnsi="楷体"/>
          <w:sz w:val="28"/>
          <w:szCs w:val="24"/>
        </w:rPr>
        <w:t>①负责组织制定应急处置方案；</w:t>
      </w:r>
    </w:p>
    <w:p>
      <w:pPr>
        <w:spacing w:beforeLines="0" w:afterLines="0"/>
        <w:rPr>
          <w:rFonts w:hint="eastAsia" w:ascii="楷体" w:hAnsi="楷体"/>
          <w:sz w:val="28"/>
          <w:szCs w:val="24"/>
        </w:rPr>
      </w:pPr>
      <w:r>
        <w:rPr>
          <w:rFonts w:hint="eastAsia" w:ascii="楷体" w:hAnsi="楷体"/>
          <w:sz w:val="28"/>
          <w:szCs w:val="24"/>
        </w:rPr>
        <w:t>②负责现场污染物消除、围堵和削减，以及污染物收集、转运和异地处置等工作。</w:t>
      </w:r>
    </w:p>
    <w:p>
      <w:pPr>
        <w:spacing w:beforeLines="0" w:afterLines="0"/>
        <w:rPr>
          <w:rFonts w:hint="eastAsia"/>
          <w:sz w:val="28"/>
          <w:szCs w:val="24"/>
        </w:rPr>
      </w:pPr>
      <w:r>
        <w:rPr>
          <w:rFonts w:hint="eastAsia" w:ascii="楷体" w:hAnsi="楷体"/>
          <w:sz w:val="28"/>
          <w:szCs w:val="24"/>
        </w:rPr>
        <w:t>③</w:t>
      </w:r>
      <w:r>
        <w:rPr>
          <w:rFonts w:hint="eastAsia"/>
          <w:sz w:val="28"/>
          <w:szCs w:val="24"/>
        </w:rPr>
        <w:t>根据事故变化及时向指挥部报告，以便统筹调度各方面人力、物力加强处置工作。</w:t>
      </w:r>
    </w:p>
    <w:p>
      <w:pPr>
        <w:pStyle w:val="6"/>
        <w:spacing w:beforeLines="0" w:afterLines="0"/>
        <w:rPr>
          <w:rFonts w:hint="eastAsia"/>
          <w:sz w:val="32"/>
          <w:szCs w:val="24"/>
        </w:rPr>
      </w:pPr>
      <w:bookmarkStart w:id="24" w:name="_Toc28484"/>
      <w:r>
        <w:rPr>
          <w:rFonts w:hint="eastAsia"/>
          <w:sz w:val="32"/>
          <w:szCs w:val="24"/>
        </w:rPr>
        <w:t>应急监测组</w:t>
      </w:r>
      <w:bookmarkEnd w:id="24"/>
    </w:p>
    <w:p>
      <w:pPr>
        <w:spacing w:beforeLines="0" w:afterLines="0"/>
        <w:rPr>
          <w:rFonts w:hint="eastAsia"/>
          <w:sz w:val="28"/>
          <w:szCs w:val="24"/>
        </w:rPr>
      </w:pPr>
      <w:r>
        <w:rPr>
          <w:rFonts w:hint="eastAsia"/>
          <w:sz w:val="28"/>
          <w:szCs w:val="24"/>
        </w:rPr>
        <w:t>（1）主要成员</w:t>
      </w:r>
    </w:p>
    <w:p>
      <w:pPr>
        <w:spacing w:beforeLines="0" w:afterLines="0"/>
        <w:rPr>
          <w:rFonts w:hint="eastAsia"/>
          <w:sz w:val="28"/>
          <w:szCs w:val="24"/>
        </w:rPr>
      </w:pPr>
      <w:r>
        <w:rPr>
          <w:rFonts w:hint="eastAsia"/>
          <w:sz w:val="28"/>
          <w:szCs w:val="24"/>
        </w:rPr>
        <w:t>应急监测组为应急监测机构，由上饶市铅山生态环境局牵头，铅山生态环境监测技术中心站长担任组长，其他成员由铅山县水利局、卫生健康委、铅山县银龙水务有限公司等相关部门人员组成。</w:t>
      </w:r>
    </w:p>
    <w:p>
      <w:pPr>
        <w:spacing w:beforeLines="0" w:afterLines="0"/>
        <w:rPr>
          <w:rFonts w:hint="eastAsia"/>
          <w:sz w:val="28"/>
          <w:szCs w:val="24"/>
        </w:rPr>
      </w:pPr>
      <w:r>
        <w:rPr>
          <w:rFonts w:hint="eastAsia"/>
          <w:sz w:val="28"/>
          <w:szCs w:val="24"/>
        </w:rPr>
        <w:t>（2）主要职责</w:t>
      </w:r>
    </w:p>
    <w:p>
      <w:pPr>
        <w:spacing w:beforeLines="0" w:afterLines="0"/>
        <w:rPr>
          <w:rFonts w:hint="eastAsia" w:ascii="楷体" w:hAnsi="楷体"/>
          <w:sz w:val="28"/>
          <w:szCs w:val="24"/>
        </w:rPr>
      </w:pPr>
      <w:r>
        <w:rPr>
          <w:rFonts w:hint="eastAsia" w:ascii="楷体" w:hAnsi="楷体"/>
          <w:sz w:val="28"/>
          <w:szCs w:val="24"/>
        </w:rPr>
        <w:t>①负责制定应急监测方案；</w:t>
      </w:r>
    </w:p>
    <w:p>
      <w:pPr>
        <w:spacing w:beforeLines="0" w:afterLines="0"/>
        <w:rPr>
          <w:rFonts w:hint="eastAsia" w:ascii="楷体" w:hAnsi="楷体"/>
          <w:sz w:val="28"/>
          <w:szCs w:val="24"/>
        </w:rPr>
      </w:pPr>
      <w:r>
        <w:rPr>
          <w:rFonts w:hint="eastAsia" w:ascii="楷体" w:hAnsi="楷体"/>
          <w:sz w:val="28"/>
          <w:szCs w:val="24"/>
        </w:rPr>
        <w:t>②负责在污染带上游、下游分别设置断面进行应急监测</w:t>
      </w:r>
      <w:r>
        <w:rPr>
          <w:rFonts w:hint="eastAsia"/>
          <w:sz w:val="28"/>
          <w:szCs w:val="24"/>
        </w:rPr>
        <w:t>，分析污染团迁移速率、方向和流量、浓度变化等，为应急处置提供依据</w:t>
      </w:r>
      <w:r>
        <w:rPr>
          <w:rFonts w:hint="eastAsia" w:ascii="楷体" w:hAnsi="楷体"/>
          <w:sz w:val="28"/>
          <w:szCs w:val="24"/>
        </w:rPr>
        <w:t>；</w:t>
      </w:r>
    </w:p>
    <w:p>
      <w:pPr>
        <w:spacing w:beforeLines="0" w:afterLines="0"/>
        <w:rPr>
          <w:rFonts w:hint="eastAsia"/>
          <w:sz w:val="28"/>
          <w:szCs w:val="24"/>
        </w:rPr>
      </w:pPr>
      <w:r>
        <w:rPr>
          <w:rFonts w:hint="eastAsia" w:ascii="楷体" w:hAnsi="楷体"/>
          <w:sz w:val="28"/>
          <w:szCs w:val="24"/>
        </w:rPr>
        <w:t>③负责应急期间的水源地、水厂和管网末梢水的水质监测</w:t>
      </w:r>
      <w:r>
        <w:rPr>
          <w:rFonts w:hint="eastAsia"/>
          <w:sz w:val="28"/>
          <w:szCs w:val="24"/>
        </w:rPr>
        <w:t>，为水厂应对决策提供依据</w:t>
      </w:r>
      <w:r>
        <w:rPr>
          <w:rFonts w:hint="eastAsia" w:ascii="楷体" w:hAnsi="楷体"/>
          <w:sz w:val="28"/>
          <w:szCs w:val="24"/>
        </w:rPr>
        <w:t>。</w:t>
      </w:r>
    </w:p>
    <w:p>
      <w:pPr>
        <w:pStyle w:val="6"/>
        <w:spacing w:beforeLines="0" w:afterLines="0"/>
        <w:rPr>
          <w:rFonts w:hint="eastAsia"/>
          <w:sz w:val="32"/>
          <w:szCs w:val="24"/>
        </w:rPr>
      </w:pPr>
      <w:bookmarkStart w:id="25" w:name="_Toc10204"/>
      <w:r>
        <w:rPr>
          <w:rFonts w:hint="eastAsia"/>
          <w:sz w:val="32"/>
          <w:szCs w:val="24"/>
        </w:rPr>
        <w:t>应急供水保障组</w:t>
      </w:r>
      <w:bookmarkEnd w:id="25"/>
    </w:p>
    <w:p>
      <w:pPr>
        <w:spacing w:beforeLines="0" w:afterLines="0"/>
        <w:rPr>
          <w:rFonts w:hint="eastAsia"/>
          <w:sz w:val="28"/>
          <w:szCs w:val="24"/>
        </w:rPr>
      </w:pPr>
      <w:r>
        <w:rPr>
          <w:rFonts w:hint="eastAsia"/>
          <w:sz w:val="28"/>
          <w:szCs w:val="24"/>
        </w:rPr>
        <w:t>（1）主要成员</w:t>
      </w:r>
    </w:p>
    <w:p>
      <w:pPr>
        <w:spacing w:beforeLines="0" w:afterLines="0"/>
        <w:rPr>
          <w:rFonts w:hint="eastAsia"/>
          <w:sz w:val="28"/>
          <w:szCs w:val="24"/>
        </w:rPr>
      </w:pPr>
      <w:r>
        <w:rPr>
          <w:rFonts w:hint="eastAsia"/>
          <w:sz w:val="28"/>
          <w:szCs w:val="24"/>
        </w:rPr>
        <w:t>应急供水保障组为供水保障机构，由铅山县水利局牵头，铅山县水利局副局长担任组长，成员由上饶市铅山生态环境局、卫生健康委、铅山县银龙水务有限公司等相关部门人员组成。</w:t>
      </w:r>
    </w:p>
    <w:p>
      <w:pPr>
        <w:spacing w:beforeLines="0" w:afterLines="0"/>
        <w:rPr>
          <w:rFonts w:hint="eastAsia"/>
          <w:sz w:val="28"/>
          <w:szCs w:val="24"/>
        </w:rPr>
      </w:pPr>
      <w:r>
        <w:rPr>
          <w:rFonts w:hint="eastAsia"/>
          <w:sz w:val="28"/>
          <w:szCs w:val="24"/>
        </w:rPr>
        <w:t>（2）主要职责</w:t>
      </w:r>
    </w:p>
    <w:p>
      <w:pPr>
        <w:spacing w:beforeLines="0" w:afterLines="0"/>
        <w:rPr>
          <w:rFonts w:hint="eastAsia" w:ascii="楷体" w:hAnsi="楷体"/>
          <w:sz w:val="28"/>
          <w:szCs w:val="24"/>
        </w:rPr>
      </w:pPr>
      <w:r>
        <w:rPr>
          <w:rFonts w:hint="eastAsia" w:ascii="楷体" w:hAnsi="楷体"/>
          <w:sz w:val="28"/>
          <w:szCs w:val="24"/>
        </w:rPr>
        <w:t>①负责制定</w:t>
      </w:r>
      <w:r>
        <w:rPr>
          <w:rFonts w:hint="eastAsia"/>
          <w:sz w:val="28"/>
          <w:szCs w:val="24"/>
        </w:rPr>
        <w:t>应急</w:t>
      </w:r>
      <w:r>
        <w:rPr>
          <w:rFonts w:hint="eastAsia" w:ascii="楷体" w:hAnsi="楷体"/>
          <w:sz w:val="28"/>
          <w:szCs w:val="24"/>
        </w:rPr>
        <w:t>供水保障方案；</w:t>
      </w:r>
    </w:p>
    <w:p>
      <w:pPr>
        <w:spacing w:beforeLines="0" w:afterLines="0"/>
        <w:rPr>
          <w:rFonts w:hint="eastAsia" w:ascii="楷体" w:hAnsi="楷体"/>
          <w:sz w:val="28"/>
          <w:szCs w:val="24"/>
        </w:rPr>
      </w:pPr>
      <w:r>
        <w:rPr>
          <w:rFonts w:hint="eastAsia" w:ascii="楷体" w:hAnsi="楷体"/>
          <w:sz w:val="28"/>
          <w:szCs w:val="24"/>
        </w:rPr>
        <w:t>②负责指导供水单位启动深度处理设施或备用水源等措施，保障居民用水。</w:t>
      </w:r>
    </w:p>
    <w:p>
      <w:pPr>
        <w:pStyle w:val="6"/>
        <w:spacing w:beforeLines="0" w:afterLines="0"/>
        <w:rPr>
          <w:rFonts w:hint="eastAsia"/>
          <w:sz w:val="32"/>
          <w:szCs w:val="24"/>
        </w:rPr>
      </w:pPr>
      <w:bookmarkStart w:id="26" w:name="_Toc31483"/>
      <w:r>
        <w:rPr>
          <w:rFonts w:hint="eastAsia"/>
          <w:sz w:val="32"/>
          <w:szCs w:val="24"/>
        </w:rPr>
        <w:t>应急物资保障组</w:t>
      </w:r>
      <w:bookmarkEnd w:id="26"/>
    </w:p>
    <w:p>
      <w:pPr>
        <w:spacing w:beforeLines="0" w:afterLines="0"/>
        <w:rPr>
          <w:rFonts w:hint="eastAsia"/>
          <w:sz w:val="28"/>
          <w:szCs w:val="24"/>
        </w:rPr>
      </w:pPr>
      <w:r>
        <w:rPr>
          <w:rFonts w:hint="eastAsia"/>
          <w:sz w:val="28"/>
          <w:szCs w:val="24"/>
        </w:rPr>
        <w:t>（1）主要成员</w:t>
      </w:r>
    </w:p>
    <w:p>
      <w:pPr>
        <w:spacing w:beforeLines="0" w:afterLines="0"/>
        <w:rPr>
          <w:rFonts w:hint="eastAsia"/>
          <w:sz w:val="28"/>
          <w:szCs w:val="24"/>
        </w:rPr>
      </w:pPr>
      <w:r>
        <w:rPr>
          <w:rFonts w:hint="eastAsia"/>
          <w:sz w:val="28"/>
          <w:szCs w:val="24"/>
        </w:rPr>
        <w:t>应急物资保障组为后勤保障机构，由铅山县应急管理局牵头，铅山县应急管理局副局长担任组长，成员由上饶市铅山生态环境局、水利局、卫生健康委、交通运输局、铅山县银龙水务有限公司、天柱山乡人民政府、篁碧畲族乡人民政府、葛仙山镇人民政府、陈坊乡人民政府等相关部门工作的人员组成。</w:t>
      </w:r>
    </w:p>
    <w:p>
      <w:pPr>
        <w:spacing w:beforeLines="0" w:afterLines="0"/>
        <w:rPr>
          <w:rFonts w:hint="eastAsia"/>
          <w:sz w:val="28"/>
          <w:szCs w:val="24"/>
        </w:rPr>
      </w:pPr>
      <w:r>
        <w:rPr>
          <w:rFonts w:hint="eastAsia"/>
          <w:sz w:val="28"/>
          <w:szCs w:val="24"/>
        </w:rPr>
        <w:t>（2）主要职责</w:t>
      </w:r>
    </w:p>
    <w:p>
      <w:pPr>
        <w:spacing w:beforeLines="0" w:afterLines="0"/>
        <w:rPr>
          <w:rFonts w:hint="eastAsia" w:ascii="楷体" w:hAnsi="楷体"/>
          <w:sz w:val="28"/>
          <w:szCs w:val="24"/>
        </w:rPr>
      </w:pPr>
      <w:r>
        <w:rPr>
          <w:rFonts w:hint="eastAsia" w:ascii="楷体" w:hAnsi="楷体"/>
          <w:sz w:val="28"/>
          <w:szCs w:val="24"/>
        </w:rPr>
        <w:t>①负责制定应急物资保障方案；</w:t>
      </w:r>
    </w:p>
    <w:p>
      <w:pPr>
        <w:spacing w:beforeLines="0" w:afterLines="0"/>
        <w:rPr>
          <w:rFonts w:hint="eastAsia"/>
          <w:sz w:val="28"/>
          <w:szCs w:val="24"/>
        </w:rPr>
      </w:pPr>
      <w:r>
        <w:rPr>
          <w:rFonts w:hint="eastAsia" w:ascii="楷体" w:hAnsi="楷体"/>
          <w:sz w:val="28"/>
          <w:szCs w:val="24"/>
        </w:rPr>
        <w:t>②</w:t>
      </w:r>
      <w:r>
        <w:rPr>
          <w:rFonts w:hint="eastAsia"/>
          <w:sz w:val="28"/>
          <w:szCs w:val="24"/>
        </w:rPr>
        <w:t>负责车辆的安排和调配</w:t>
      </w:r>
    </w:p>
    <w:p>
      <w:pPr>
        <w:spacing w:beforeLines="0" w:afterLines="0"/>
        <w:rPr>
          <w:rFonts w:hint="eastAsia" w:ascii="楷体" w:hAnsi="楷体"/>
          <w:sz w:val="28"/>
          <w:szCs w:val="24"/>
        </w:rPr>
      </w:pPr>
      <w:r>
        <w:rPr>
          <w:rFonts w:hint="eastAsia" w:ascii="楷体" w:hAnsi="楷体"/>
          <w:sz w:val="28"/>
          <w:szCs w:val="24"/>
        </w:rPr>
        <w:t>③负责调配应急物资，</w:t>
      </w:r>
      <w:r>
        <w:rPr>
          <w:rFonts w:hint="eastAsia"/>
          <w:sz w:val="28"/>
          <w:szCs w:val="24"/>
        </w:rPr>
        <w:t>为救援行动提供物质保障（包括污染物吸附、中和的材料及药剂，挖掘或设置临时围堰的器材，监测器材和指挥通信器材等）</w:t>
      </w:r>
      <w:r>
        <w:rPr>
          <w:rFonts w:hint="eastAsia" w:ascii="楷体" w:hAnsi="楷体"/>
          <w:sz w:val="28"/>
          <w:szCs w:val="24"/>
        </w:rPr>
        <w:t>、协调运输车辆；</w:t>
      </w:r>
    </w:p>
    <w:p>
      <w:pPr>
        <w:spacing w:beforeLines="0" w:afterLines="0"/>
        <w:rPr>
          <w:rFonts w:hint="eastAsia" w:ascii="楷体" w:hAnsi="楷体"/>
          <w:sz w:val="28"/>
          <w:szCs w:val="24"/>
        </w:rPr>
      </w:pPr>
      <w:r>
        <w:rPr>
          <w:rFonts w:hint="default" w:ascii="微软雅黑" w:hAnsi="微软雅黑" w:eastAsia="微软雅黑"/>
          <w:sz w:val="28"/>
          <w:szCs w:val="24"/>
        </w:rPr>
        <w:t>④</w:t>
      </w:r>
      <w:r>
        <w:rPr>
          <w:rFonts w:hint="eastAsia"/>
          <w:sz w:val="28"/>
          <w:szCs w:val="24"/>
        </w:rPr>
        <w:t>负责应急时的后勤保障工作，</w:t>
      </w:r>
      <w:r>
        <w:rPr>
          <w:rFonts w:hint="eastAsia" w:ascii="楷体" w:hAnsi="楷体"/>
          <w:sz w:val="28"/>
          <w:szCs w:val="24"/>
        </w:rPr>
        <w:t>协调补偿征用物资、应急救援和污染物处置等费用。</w:t>
      </w:r>
    </w:p>
    <w:p>
      <w:pPr>
        <w:pStyle w:val="6"/>
        <w:spacing w:beforeLines="0" w:afterLines="0"/>
        <w:rPr>
          <w:rFonts w:hint="eastAsia"/>
          <w:sz w:val="32"/>
          <w:szCs w:val="24"/>
        </w:rPr>
      </w:pPr>
      <w:bookmarkStart w:id="27" w:name="_Toc8983"/>
      <w:r>
        <w:rPr>
          <w:rFonts w:hint="eastAsia"/>
          <w:sz w:val="32"/>
          <w:szCs w:val="24"/>
        </w:rPr>
        <w:t>综合组</w:t>
      </w:r>
      <w:bookmarkEnd w:id="27"/>
    </w:p>
    <w:p>
      <w:pPr>
        <w:spacing w:beforeLines="0" w:afterLines="0"/>
        <w:rPr>
          <w:rFonts w:hint="eastAsia"/>
          <w:sz w:val="28"/>
          <w:szCs w:val="24"/>
        </w:rPr>
      </w:pPr>
      <w:r>
        <w:rPr>
          <w:rFonts w:hint="eastAsia"/>
          <w:sz w:val="28"/>
          <w:szCs w:val="24"/>
        </w:rPr>
        <w:t>（1）主要成员</w:t>
      </w:r>
    </w:p>
    <w:p>
      <w:pPr>
        <w:spacing w:beforeLines="0" w:afterLines="0"/>
        <w:rPr>
          <w:rFonts w:hint="eastAsia"/>
          <w:sz w:val="28"/>
          <w:szCs w:val="24"/>
        </w:rPr>
      </w:pPr>
      <w:r>
        <w:rPr>
          <w:rFonts w:hint="eastAsia"/>
          <w:sz w:val="28"/>
          <w:szCs w:val="24"/>
        </w:rPr>
        <w:t>综合组为综合协调机构，由铅山县委宣传部牵头，由铅山县委宣传部副部长担任组长，成员由铅山县公安局、自然资源局、气象局等相关部门人员组成。</w:t>
      </w:r>
    </w:p>
    <w:p>
      <w:pPr>
        <w:spacing w:beforeLines="0" w:afterLines="0"/>
        <w:rPr>
          <w:rFonts w:hint="eastAsia"/>
          <w:sz w:val="28"/>
          <w:szCs w:val="24"/>
        </w:rPr>
      </w:pPr>
      <w:r>
        <w:rPr>
          <w:rFonts w:hint="eastAsia"/>
          <w:sz w:val="28"/>
          <w:szCs w:val="24"/>
        </w:rPr>
        <w:t>（2）主要职责</w:t>
      </w:r>
    </w:p>
    <w:p>
      <w:pPr>
        <w:spacing w:beforeLines="0" w:afterLines="0"/>
        <w:rPr>
          <w:rFonts w:hint="eastAsia" w:ascii="楷体" w:hAnsi="楷体"/>
          <w:sz w:val="28"/>
          <w:szCs w:val="24"/>
        </w:rPr>
      </w:pPr>
      <w:r>
        <w:rPr>
          <w:rFonts w:hint="eastAsia"/>
          <w:sz w:val="28"/>
          <w:szCs w:val="24"/>
        </w:rPr>
        <w:t>负责统筹协调新闻信息发布和舆情应对工作。</w:t>
      </w:r>
    </w:p>
    <w:p>
      <w:pPr>
        <w:pStyle w:val="6"/>
        <w:spacing w:beforeLines="0" w:afterLines="0"/>
        <w:rPr>
          <w:rFonts w:hint="eastAsia"/>
          <w:sz w:val="32"/>
          <w:szCs w:val="24"/>
        </w:rPr>
      </w:pPr>
      <w:bookmarkStart w:id="28" w:name="_Toc15821"/>
      <w:r>
        <w:rPr>
          <w:rFonts w:hint="eastAsia"/>
          <w:sz w:val="32"/>
          <w:szCs w:val="24"/>
        </w:rPr>
        <w:t>应急专家组</w:t>
      </w:r>
      <w:bookmarkEnd w:id="28"/>
    </w:p>
    <w:p>
      <w:pPr>
        <w:spacing w:beforeLines="0" w:afterLines="0"/>
        <w:rPr>
          <w:rFonts w:hint="eastAsia"/>
          <w:sz w:val="28"/>
          <w:szCs w:val="24"/>
        </w:rPr>
      </w:pPr>
      <w:r>
        <w:rPr>
          <w:rFonts w:hint="eastAsia"/>
          <w:sz w:val="28"/>
          <w:szCs w:val="24"/>
        </w:rPr>
        <w:t>由环境监测、危险化学品、环境评估专家等组成（伦潭水库突发环境事件应急专家组名单详见附件7），需要时亲临现场参加突发环境事件的应急处置工作。</w:t>
      </w:r>
    </w:p>
    <w:p>
      <w:pPr>
        <w:spacing w:beforeLines="0" w:afterLines="0"/>
        <w:rPr>
          <w:rFonts w:hint="eastAsia"/>
          <w:sz w:val="28"/>
          <w:szCs w:val="24"/>
        </w:rPr>
      </w:pPr>
      <w:r>
        <w:rPr>
          <w:rFonts w:hint="eastAsia"/>
          <w:sz w:val="28"/>
          <w:szCs w:val="24"/>
        </w:rPr>
        <w:t>专家组为现场环境救援应急指挥部应急决策提供专业咨询和技术支持；对事发现场信息进行综合分析和研究，综合评估水污染事件，预测其发展趋势，提出启动和终止应急预案的建议、应急处置措施和环境安全建议；提出指导、调整和评估应急处理措施建议和意见；参与伦潭水库饮用水水源地突发环境事件的总结评估并提交评估报告。</w:t>
      </w:r>
    </w:p>
    <w:p>
      <w:pPr>
        <w:spacing w:beforeLines="0" w:afterLines="0"/>
        <w:rPr>
          <w:rFonts w:hint="eastAsia"/>
          <w:sz w:val="28"/>
          <w:szCs w:val="24"/>
        </w:rPr>
      </w:pPr>
      <w:r>
        <w:rPr>
          <w:rFonts w:hint="eastAsia"/>
          <w:sz w:val="28"/>
          <w:szCs w:val="24"/>
        </w:rPr>
        <w:t>主要职责：为现场应急处置提供技术支持。</w:t>
      </w:r>
    </w:p>
    <w:p>
      <w:pPr>
        <w:pStyle w:val="4"/>
        <w:spacing w:beforeLines="0" w:afterLines="0"/>
        <w:rPr>
          <w:rFonts w:hint="eastAsia"/>
          <w:sz w:val="44"/>
          <w:szCs w:val="24"/>
        </w:rPr>
      </w:pPr>
      <w:bookmarkStart w:id="29" w:name="_Toc3642"/>
      <w:r>
        <w:rPr>
          <w:rFonts w:hint="eastAsia"/>
          <w:sz w:val="36"/>
          <w:szCs w:val="24"/>
        </w:rPr>
        <w:t>应急响应</w:t>
      </w:r>
      <w:bookmarkEnd w:id="29"/>
    </w:p>
    <w:p>
      <w:pPr>
        <w:spacing w:beforeLines="0" w:afterLines="0"/>
        <w:rPr>
          <w:rFonts w:hint="eastAsia"/>
          <w:sz w:val="28"/>
          <w:szCs w:val="24"/>
        </w:rPr>
      </w:pPr>
      <w:r>
        <w:rPr>
          <w:rFonts w:hint="eastAsia"/>
          <w:sz w:val="28"/>
          <w:szCs w:val="24"/>
        </w:rPr>
        <w:t>主要包括信息收集和研判、预警、响应分级、信息报告与通报、事态研判、应急监测、污染源排查与处置、应急处置、物资调集及应急设施启用、舆情监测与信息发布、响应终止等工作内容。</w:t>
      </w:r>
    </w:p>
    <w:p>
      <w:pPr>
        <w:spacing w:beforeLines="0" w:afterLines="0"/>
        <w:rPr>
          <w:rFonts w:hint="eastAsia"/>
          <w:sz w:val="28"/>
          <w:szCs w:val="24"/>
        </w:rPr>
      </w:pPr>
      <w:r>
        <w:rPr>
          <w:rFonts w:hint="eastAsia"/>
          <w:sz w:val="28"/>
          <w:szCs w:val="24"/>
        </w:rPr>
        <w:t>伦潭水库饮用水水源地突发环境事件应急预案应急响应工作线路见图3.1。</w:t>
      </w:r>
    </w:p>
    <w:p>
      <w:pPr>
        <w:pStyle w:val="9"/>
        <w:spacing w:beforeLines="0" w:afterLines="0"/>
        <w:rPr>
          <w:rFonts w:hint="eastAsia"/>
          <w:sz w:val="21"/>
          <w:szCs w:val="24"/>
        </w:rPr>
      </w:pPr>
      <w:r>
        <w:rPr>
          <w:rFonts w:hint="default"/>
          <w:sz w:val="21"/>
          <w:szCs w:val="24"/>
        </w:rPr>
        <w:drawing>
          <wp:inline distT="0" distB="0" distL="114300" distR="114300">
            <wp:extent cx="5248910" cy="7513955"/>
            <wp:effectExtent l="0" t="0" r="8890"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5248910" cy="7513955"/>
                    </a:xfrm>
                    <a:prstGeom prst="rect">
                      <a:avLst/>
                    </a:prstGeom>
                    <a:noFill/>
                    <a:ln>
                      <a:noFill/>
                    </a:ln>
                  </pic:spPr>
                </pic:pic>
              </a:graphicData>
            </a:graphic>
          </wp:inline>
        </w:drawing>
      </w:r>
    </w:p>
    <w:p>
      <w:pPr>
        <w:pStyle w:val="9"/>
        <w:spacing w:beforeLines="0" w:afterLines="0"/>
        <w:rPr>
          <w:rFonts w:hint="eastAsia"/>
          <w:sz w:val="21"/>
          <w:szCs w:val="24"/>
        </w:rPr>
      </w:pPr>
      <w:r>
        <w:rPr>
          <w:rFonts w:hint="eastAsia"/>
          <w:sz w:val="21"/>
          <w:szCs w:val="24"/>
        </w:rPr>
        <w:t xml:space="preserve">图 </w:t>
      </w:r>
      <w:r>
        <w:rPr>
          <w:rFonts w:hint="eastAsia"/>
          <w:sz w:val="21"/>
          <w:szCs w:val="24"/>
        </w:rPr>
        <w:fldChar w:fldCharType="begin"/>
      </w:r>
      <w:r>
        <w:rPr>
          <w:rFonts w:hint="eastAsia"/>
          <w:sz w:val="21"/>
          <w:szCs w:val="24"/>
        </w:rPr>
        <w:instrText xml:space="preserve"> STYLEREF 1 \s </w:instrText>
      </w:r>
      <w:r>
        <w:rPr>
          <w:rFonts w:hint="eastAsia"/>
          <w:sz w:val="21"/>
          <w:szCs w:val="24"/>
        </w:rPr>
        <w:fldChar w:fldCharType="separate"/>
      </w:r>
      <w:r>
        <w:rPr>
          <w:rFonts w:hint="eastAsia"/>
          <w:sz w:val="21"/>
          <w:szCs w:val="24"/>
        </w:rPr>
        <w:t>3</w:t>
      </w:r>
      <w:r>
        <w:rPr>
          <w:rFonts w:hint="eastAsia"/>
          <w:sz w:val="21"/>
          <w:szCs w:val="24"/>
        </w:rPr>
        <w:fldChar w:fldCharType="end"/>
      </w:r>
      <w:r>
        <w:rPr>
          <w:rFonts w:hint="eastAsia"/>
          <w:sz w:val="21"/>
          <w:szCs w:val="24"/>
        </w:rPr>
        <w:t>.</w:t>
      </w:r>
      <w:r>
        <w:rPr>
          <w:rFonts w:hint="eastAsia"/>
          <w:sz w:val="21"/>
          <w:szCs w:val="24"/>
        </w:rPr>
        <w:fldChar w:fldCharType="begin"/>
      </w:r>
      <w:r>
        <w:rPr>
          <w:rFonts w:hint="eastAsia"/>
          <w:sz w:val="21"/>
          <w:szCs w:val="24"/>
        </w:rPr>
        <w:instrText xml:space="preserve"> SEQ 图 \* ARABIC \s 1 </w:instrText>
      </w:r>
      <w:r>
        <w:rPr>
          <w:rFonts w:hint="eastAsia"/>
          <w:sz w:val="21"/>
          <w:szCs w:val="24"/>
        </w:rPr>
        <w:fldChar w:fldCharType="separate"/>
      </w:r>
      <w:r>
        <w:rPr>
          <w:rFonts w:hint="eastAsia"/>
          <w:sz w:val="21"/>
          <w:szCs w:val="24"/>
        </w:rPr>
        <w:t>1</w:t>
      </w:r>
      <w:r>
        <w:rPr>
          <w:rFonts w:hint="eastAsia"/>
          <w:sz w:val="21"/>
          <w:szCs w:val="24"/>
        </w:rPr>
        <w:fldChar w:fldCharType="end"/>
      </w:r>
      <w:r>
        <w:rPr>
          <w:rFonts w:hint="eastAsia"/>
          <w:sz w:val="21"/>
          <w:szCs w:val="24"/>
        </w:rPr>
        <w:t xml:space="preserve">  应急响应工作线路图</w:t>
      </w:r>
    </w:p>
    <w:p>
      <w:pPr>
        <w:pStyle w:val="5"/>
        <w:spacing w:beforeLines="0" w:afterLines="0"/>
        <w:rPr>
          <w:rFonts w:hint="eastAsia"/>
          <w:sz w:val="36"/>
          <w:szCs w:val="24"/>
        </w:rPr>
      </w:pPr>
      <w:bookmarkStart w:id="30" w:name="_Toc28213"/>
      <w:r>
        <w:rPr>
          <w:rFonts w:hint="eastAsia"/>
          <w:sz w:val="36"/>
          <w:szCs w:val="24"/>
        </w:rPr>
        <w:t>信息收集和研判</w:t>
      </w:r>
      <w:bookmarkEnd w:id="30"/>
    </w:p>
    <w:p>
      <w:pPr>
        <w:pStyle w:val="6"/>
        <w:spacing w:beforeLines="0" w:afterLines="0"/>
        <w:rPr>
          <w:rFonts w:hint="eastAsia"/>
          <w:sz w:val="32"/>
          <w:szCs w:val="24"/>
        </w:rPr>
      </w:pPr>
      <w:bookmarkStart w:id="31" w:name="_Toc436"/>
      <w:r>
        <w:rPr>
          <w:rFonts w:hint="eastAsia"/>
          <w:sz w:val="32"/>
          <w:szCs w:val="24"/>
        </w:rPr>
        <w:t>信息收集</w:t>
      </w:r>
      <w:bookmarkEnd w:id="31"/>
    </w:p>
    <w:p>
      <w:pPr>
        <w:spacing w:beforeLines="0" w:afterLines="0"/>
        <w:rPr>
          <w:rFonts w:hint="eastAsia"/>
          <w:sz w:val="28"/>
          <w:szCs w:val="24"/>
        </w:rPr>
      </w:pPr>
      <w:r>
        <w:rPr>
          <w:rFonts w:hint="eastAsia"/>
          <w:sz w:val="28"/>
          <w:szCs w:val="24"/>
        </w:rPr>
        <w:t>（1）任何部门、单位或公民一旦发现铅山县伦潭水库饮用水水源地污染事故或接到污染事故报告后，应当立即拨打0793-5160256热线，通知突发环境事件协调办公室。上饶市铅山生态环境局、铅山县水利局、铅山县银龙水务有限公司应按照水库日常执法巡查制度，做好水库的日常监管工作，发现问题立即上报突发环境事件协调办公室。</w:t>
      </w:r>
    </w:p>
    <w:p>
      <w:pPr>
        <w:spacing w:beforeLines="0" w:afterLines="0"/>
        <w:rPr>
          <w:rFonts w:hint="eastAsia"/>
          <w:sz w:val="28"/>
          <w:szCs w:val="24"/>
        </w:rPr>
      </w:pPr>
      <w:r>
        <w:rPr>
          <w:rFonts w:hint="eastAsia"/>
          <w:sz w:val="28"/>
          <w:szCs w:val="24"/>
        </w:rPr>
        <w:t>（2）铅山县银龙水务有限公司要按照规定和要求，严格做好入厂水和出厂水的水质常规监测，发现问题时必须详细做好记录，包括时间、地点、人物、事件及其状况，立即上报突发环境事件协调办公室。</w:t>
      </w:r>
    </w:p>
    <w:p>
      <w:pPr>
        <w:spacing w:beforeLines="0" w:afterLines="0"/>
        <w:rPr>
          <w:rFonts w:hint="eastAsia"/>
          <w:sz w:val="28"/>
          <w:szCs w:val="24"/>
        </w:rPr>
      </w:pPr>
      <w:r>
        <w:rPr>
          <w:rFonts w:hint="eastAsia"/>
          <w:sz w:val="28"/>
          <w:szCs w:val="24"/>
        </w:rPr>
        <w:t>（3）上饶市铅山生态环境局、铅山县银龙水务有限公司等应急单位按照早发现、早报告、早处置的原则，开展对水文、水质、气象和环境质量等监测数据的综合分析、风险评估工作。同时，设置水质监督性监测（常规断面）、在线监测（常规和预警监控断面）等日常监管渠道获取水质异常信息。也可以通过水文气象、地质灾害、污染源排放等信息开展水质预测预警，获取水质异常信息。</w:t>
      </w:r>
    </w:p>
    <w:p>
      <w:pPr>
        <w:spacing w:beforeLines="0" w:afterLines="0"/>
        <w:rPr>
          <w:rFonts w:hint="eastAsia"/>
          <w:sz w:val="28"/>
          <w:szCs w:val="24"/>
        </w:rPr>
      </w:pPr>
      <w:r>
        <w:rPr>
          <w:rFonts w:hint="eastAsia"/>
          <w:sz w:val="28"/>
          <w:szCs w:val="24"/>
        </w:rPr>
        <w:t>（4）铅山生态环境监测技术中心和县疾病控制中心应完善预警信息系统建设，发现问题应及时向主管部门报告。有关主管部门要及时对预警信息进行接收和预评估，并视情况上报突发环境事件协调办公室。</w:t>
      </w:r>
    </w:p>
    <w:p>
      <w:pPr>
        <w:spacing w:beforeLines="0" w:afterLines="0"/>
        <w:rPr>
          <w:rFonts w:hint="eastAsia"/>
          <w:sz w:val="28"/>
          <w:szCs w:val="24"/>
        </w:rPr>
      </w:pPr>
      <w:r>
        <w:rPr>
          <w:rFonts w:hint="eastAsia"/>
          <w:sz w:val="28"/>
          <w:szCs w:val="24"/>
        </w:rPr>
        <w:t>（5）上饶市铅山生态环境局可通过伦潭水库上游及周边主要风险源监控获取异常排放信息，也可通过0793-5160256热线、网络等途径获取突发环境事件信息；铅山县公安、交通部门可通过交通事故报警获取流动源事故信息；铅山县水利部门可通过对伦潭水库藻密度变化情况的监测，获取水华事件信息。</w:t>
      </w:r>
    </w:p>
    <w:p>
      <w:pPr>
        <w:spacing w:beforeLines="0" w:afterLines="0"/>
        <w:rPr>
          <w:rFonts w:hint="eastAsia"/>
          <w:sz w:val="28"/>
          <w:szCs w:val="24"/>
        </w:rPr>
      </w:pPr>
      <w:r>
        <w:rPr>
          <w:rFonts w:hint="eastAsia"/>
          <w:sz w:val="28"/>
          <w:szCs w:val="24"/>
        </w:rPr>
        <w:t>（6）通过乡镇级、县级各个不同部门之间、上下游相邻行政区域政府之间建立的信息收集与共享渠道，获取突发环境事件信息。</w:t>
      </w:r>
    </w:p>
    <w:p>
      <w:pPr>
        <w:pStyle w:val="6"/>
        <w:spacing w:beforeLines="0" w:afterLines="0"/>
        <w:rPr>
          <w:rFonts w:hint="eastAsia"/>
          <w:sz w:val="32"/>
          <w:szCs w:val="24"/>
        </w:rPr>
      </w:pPr>
      <w:bookmarkStart w:id="32" w:name="_Toc30551"/>
      <w:r>
        <w:rPr>
          <w:rFonts w:hint="eastAsia"/>
          <w:sz w:val="32"/>
          <w:szCs w:val="24"/>
        </w:rPr>
        <w:t>信息研判与会商</w:t>
      </w:r>
      <w:bookmarkEnd w:id="32"/>
    </w:p>
    <w:p>
      <w:pPr>
        <w:spacing w:beforeLines="0" w:afterLines="0"/>
        <w:rPr>
          <w:rFonts w:hint="eastAsia"/>
          <w:sz w:val="28"/>
          <w:szCs w:val="24"/>
        </w:rPr>
      </w:pPr>
      <w:r>
        <w:rPr>
          <w:rFonts w:hint="eastAsia"/>
          <w:sz w:val="28"/>
          <w:szCs w:val="24"/>
        </w:rPr>
        <w:t>通过日常监管渠道首次发现水质异常或群众举报、责任单位报告等获取突发事件信息的部门，应第一时间开展以下工作：</w:t>
      </w:r>
    </w:p>
    <w:p>
      <w:pPr>
        <w:spacing w:beforeLines="0" w:afterLines="0"/>
        <w:rPr>
          <w:rFonts w:hint="eastAsia"/>
          <w:sz w:val="28"/>
          <w:szCs w:val="24"/>
        </w:rPr>
      </w:pPr>
      <w:r>
        <w:rPr>
          <w:rFonts w:hint="eastAsia"/>
          <w:sz w:val="28"/>
          <w:szCs w:val="24"/>
        </w:rPr>
        <w:t>（1）核实信息的真实性。</w:t>
      </w:r>
    </w:p>
    <w:p>
      <w:pPr>
        <w:spacing w:beforeLines="0" w:afterLines="0"/>
        <w:rPr>
          <w:rFonts w:hint="eastAsia"/>
          <w:sz w:val="28"/>
          <w:szCs w:val="24"/>
        </w:rPr>
      </w:pPr>
      <w:r>
        <w:rPr>
          <w:rFonts w:hint="eastAsia"/>
          <w:sz w:val="28"/>
          <w:szCs w:val="24"/>
        </w:rPr>
        <w:t>（2）进一步收集信息，必要时通报上饶市铅山生态环境局、公安局、卫生健康委、水利局、铅山县银龙水务有限公司等有关部门共同开展信息收集工作。</w:t>
      </w:r>
    </w:p>
    <w:p>
      <w:pPr>
        <w:spacing w:beforeLines="0" w:afterLines="0"/>
        <w:rPr>
          <w:rFonts w:hint="eastAsia"/>
          <w:sz w:val="28"/>
          <w:szCs w:val="24"/>
        </w:rPr>
      </w:pPr>
      <w:r>
        <w:rPr>
          <w:rFonts w:hint="eastAsia"/>
          <w:sz w:val="28"/>
          <w:szCs w:val="24"/>
        </w:rPr>
        <w:t>（3）上饶市铅山生态环境局立即组织有关部门及应急专家进行会商，根据收集到的信息研判水质变化趋势，若判断可能对伦潭水库饮用水水源地水质造成影响，则建议铅山县人民政府成立现场应急指挥部。</w:t>
      </w:r>
    </w:p>
    <w:p>
      <w:pPr>
        <w:pStyle w:val="5"/>
        <w:spacing w:beforeLines="0" w:afterLines="0"/>
        <w:rPr>
          <w:rFonts w:hint="eastAsia"/>
          <w:sz w:val="36"/>
          <w:szCs w:val="24"/>
        </w:rPr>
      </w:pPr>
      <w:bookmarkStart w:id="33" w:name="_Toc26298"/>
      <w:r>
        <w:rPr>
          <w:rFonts w:hint="eastAsia"/>
          <w:sz w:val="36"/>
          <w:szCs w:val="24"/>
        </w:rPr>
        <w:t>预警</w:t>
      </w:r>
      <w:bookmarkEnd w:id="33"/>
    </w:p>
    <w:p>
      <w:pPr>
        <w:pStyle w:val="6"/>
        <w:spacing w:beforeLines="0" w:afterLines="0"/>
        <w:rPr>
          <w:rFonts w:hint="eastAsia" w:eastAsia="Times New Roman"/>
          <w:sz w:val="32"/>
          <w:szCs w:val="24"/>
        </w:rPr>
      </w:pPr>
      <w:bookmarkStart w:id="34" w:name="_Toc17813"/>
      <w:r>
        <w:rPr>
          <w:rFonts w:hint="eastAsia"/>
          <w:sz w:val="32"/>
          <w:szCs w:val="24"/>
        </w:rPr>
        <w:t>预警分级</w:t>
      </w:r>
      <w:bookmarkEnd w:id="34"/>
    </w:p>
    <w:p>
      <w:pPr>
        <w:spacing w:beforeLines="0" w:afterLines="0"/>
        <w:rPr>
          <w:rFonts w:hint="eastAsia" w:ascii="楷体" w:hAnsi="楷体"/>
          <w:sz w:val="28"/>
          <w:szCs w:val="24"/>
        </w:rPr>
      </w:pPr>
      <w:r>
        <w:rPr>
          <w:rFonts w:hint="eastAsia" w:ascii="楷体" w:hAnsi="楷体"/>
          <w:sz w:val="28"/>
          <w:szCs w:val="24"/>
        </w:rPr>
        <w:t>按照突发公共事件的严重程度、紧急程度、伤害程度及影响范围的划分标准，城乡供水水源地环境污染突发事件划分为特别重大（Ⅰ）级、重大（Ⅱ）级、较大（Ⅲ）级和一般（Ⅳ）级四个级别，预警级别由高到低，颜色依次为红色、橙色、黄色、蓝色。</w:t>
      </w:r>
    </w:p>
    <w:p>
      <w:pPr>
        <w:spacing w:beforeLines="0" w:afterLines="0"/>
        <w:rPr>
          <w:rFonts w:hint="eastAsia" w:ascii="楷体" w:hAnsi="楷体"/>
          <w:sz w:val="28"/>
          <w:szCs w:val="24"/>
        </w:rPr>
      </w:pPr>
      <w:r>
        <w:rPr>
          <w:rFonts w:hint="eastAsia" w:ascii="楷体" w:hAnsi="楷体"/>
          <w:sz w:val="28"/>
          <w:szCs w:val="24"/>
        </w:rPr>
        <w:t>伦潭水库水源地突发环境事件预警分级与《上饶市饮用水水源突发环境事件应急预案》、《铅山县突发环境事件应急预案》的预警分级相互衔接，为提高效率、简化程序，将预警等级简化为红色（Ⅰ级预警）和橙色（Ⅱ级预警）两级预警。根据事态的发展情况和采取措施的效果，预警颜色可以升级、降解或解除。</w:t>
      </w:r>
    </w:p>
    <w:p>
      <w:pPr>
        <w:spacing w:beforeLines="0" w:afterLines="0"/>
        <w:rPr>
          <w:rFonts w:hint="eastAsia" w:ascii="楷体" w:hAnsi="楷体"/>
          <w:sz w:val="28"/>
          <w:szCs w:val="24"/>
        </w:rPr>
      </w:pPr>
      <w:r>
        <w:rPr>
          <w:rFonts w:hint="eastAsia" w:ascii="楷体" w:hAnsi="楷体"/>
          <w:sz w:val="28"/>
          <w:szCs w:val="24"/>
        </w:rPr>
        <w:t>按照伦潭水库水源地突发环境事件的紧急程度、发展态势或可能造成的危害程度，将水源地突发环境事件分为两级，预警级别由低到高，依次用橙色、红色表示。发布预警，即应采取预警行动或同时采取应急措施。一般发布橙色预警时，仅采取预警行动；发布红色预警时，在采取预警行动的同时，由应急指挥部启动应急措施。</w:t>
      </w:r>
    </w:p>
    <w:p>
      <w:pPr>
        <w:pStyle w:val="9"/>
        <w:spacing w:beforeLines="0" w:afterLines="0"/>
        <w:rPr>
          <w:rFonts w:hint="eastAsia" w:ascii="楷体" w:hAnsi="楷体"/>
          <w:sz w:val="28"/>
          <w:szCs w:val="24"/>
        </w:rPr>
      </w:pPr>
      <w:r>
        <w:rPr>
          <w:rFonts w:hint="eastAsia"/>
          <w:sz w:val="21"/>
          <w:szCs w:val="24"/>
        </w:rPr>
        <w:t xml:space="preserve">表 </w:t>
      </w:r>
      <w:r>
        <w:rPr>
          <w:rFonts w:hint="eastAsia"/>
          <w:sz w:val="21"/>
          <w:szCs w:val="24"/>
        </w:rPr>
        <w:fldChar w:fldCharType="begin"/>
      </w:r>
      <w:r>
        <w:rPr>
          <w:rFonts w:hint="eastAsia"/>
          <w:sz w:val="21"/>
          <w:szCs w:val="24"/>
        </w:rPr>
        <w:instrText xml:space="preserve"> STYLEREF 1 \s </w:instrText>
      </w:r>
      <w:r>
        <w:rPr>
          <w:rFonts w:hint="eastAsia"/>
          <w:sz w:val="21"/>
          <w:szCs w:val="24"/>
        </w:rPr>
        <w:fldChar w:fldCharType="separate"/>
      </w:r>
      <w:r>
        <w:rPr>
          <w:rFonts w:hint="eastAsia"/>
          <w:sz w:val="21"/>
          <w:szCs w:val="24"/>
        </w:rPr>
        <w:t>3</w:t>
      </w:r>
      <w:r>
        <w:rPr>
          <w:rFonts w:hint="eastAsia"/>
          <w:sz w:val="21"/>
          <w:szCs w:val="24"/>
        </w:rPr>
        <w:fldChar w:fldCharType="end"/>
      </w:r>
      <w:r>
        <w:rPr>
          <w:rFonts w:hint="eastAsia"/>
          <w:sz w:val="21"/>
          <w:szCs w:val="24"/>
        </w:rPr>
        <w:t>.</w:t>
      </w:r>
      <w:r>
        <w:rPr>
          <w:rFonts w:hint="eastAsia"/>
          <w:sz w:val="21"/>
          <w:szCs w:val="24"/>
        </w:rPr>
        <w:fldChar w:fldCharType="begin"/>
      </w:r>
      <w:r>
        <w:rPr>
          <w:rFonts w:hint="eastAsia"/>
          <w:sz w:val="21"/>
          <w:szCs w:val="24"/>
        </w:rPr>
        <w:instrText xml:space="preserve"> SEQ 表 \* ARABIC \s 1 </w:instrText>
      </w:r>
      <w:r>
        <w:rPr>
          <w:rFonts w:hint="eastAsia"/>
          <w:sz w:val="21"/>
          <w:szCs w:val="24"/>
        </w:rPr>
        <w:fldChar w:fldCharType="separate"/>
      </w:r>
      <w:r>
        <w:rPr>
          <w:rFonts w:hint="eastAsia"/>
          <w:sz w:val="21"/>
          <w:szCs w:val="24"/>
        </w:rPr>
        <w:t>1</w:t>
      </w:r>
      <w:r>
        <w:rPr>
          <w:rFonts w:hint="eastAsia"/>
          <w:sz w:val="21"/>
          <w:szCs w:val="24"/>
        </w:rPr>
        <w:fldChar w:fldCharType="end"/>
      </w:r>
      <w:r>
        <w:rPr>
          <w:rFonts w:hint="eastAsia"/>
          <w:sz w:val="21"/>
          <w:szCs w:val="24"/>
        </w:rPr>
        <w:t xml:space="preserve">  预警条件分级</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420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级别</w:t>
            </w:r>
          </w:p>
        </w:tc>
        <w:tc>
          <w:tcPr>
            <w:tcW w:w="420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预警条件</w:t>
            </w:r>
          </w:p>
        </w:tc>
        <w:tc>
          <w:tcPr>
            <w:tcW w:w="21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ascii="楷体" w:hAnsi="楷体"/>
                <w:sz w:val="21"/>
                <w:szCs w:val="24"/>
              </w:rPr>
              <w:t>Ⅰ</w:t>
            </w:r>
            <w:r>
              <w:rPr>
                <w:rFonts w:hint="eastAsia"/>
                <w:sz w:val="21"/>
                <w:szCs w:val="24"/>
              </w:rPr>
              <w:t>级预警（红色预警）</w:t>
            </w:r>
          </w:p>
        </w:tc>
        <w:tc>
          <w:tcPr>
            <w:tcW w:w="420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当判断污染物可能出现在水源保护区或其上游汇水区域，且经研判认为对库区水质影响较大、可能影响取水时。</w:t>
            </w:r>
          </w:p>
        </w:tc>
        <w:tc>
          <w:tcPr>
            <w:tcW w:w="21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采取预警行动同时启动应急措施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ascii="楷体" w:hAnsi="楷体"/>
                <w:sz w:val="21"/>
                <w:szCs w:val="24"/>
              </w:rPr>
              <w:t>Ⅱ</w:t>
            </w:r>
            <w:r>
              <w:rPr>
                <w:rFonts w:hint="eastAsia"/>
                <w:sz w:val="21"/>
                <w:szCs w:val="24"/>
              </w:rPr>
              <w:t>级预警（橙色预警）</w:t>
            </w:r>
          </w:p>
        </w:tc>
        <w:tc>
          <w:tcPr>
            <w:tcW w:w="420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当判断污染物迁移至水源地应急预案适用的地域范围，但水源保护区或其连接水体尚未受到污染，或是污染物已进入水源保护区上游连接水体，但经研判认为对库区水质影响可能较小、可能不影响取水时。</w:t>
            </w:r>
          </w:p>
        </w:tc>
        <w:tc>
          <w:tcPr>
            <w:tcW w:w="21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仅采取预警行动</w:t>
            </w:r>
          </w:p>
        </w:tc>
      </w:tr>
    </w:tbl>
    <w:p>
      <w:pPr>
        <w:pStyle w:val="6"/>
        <w:spacing w:beforeLines="0" w:afterLines="0"/>
        <w:rPr>
          <w:rFonts w:hint="eastAsia"/>
          <w:sz w:val="32"/>
          <w:szCs w:val="24"/>
        </w:rPr>
      </w:pPr>
      <w:bookmarkStart w:id="35" w:name="_Toc2089"/>
      <w:r>
        <w:rPr>
          <w:rFonts w:hint="eastAsia"/>
          <w:sz w:val="32"/>
          <w:szCs w:val="24"/>
        </w:rPr>
        <w:t>预警的启动条件</w:t>
      </w:r>
      <w:bookmarkEnd w:id="35"/>
    </w:p>
    <w:p>
      <w:pPr>
        <w:spacing w:beforeLines="0" w:afterLines="0"/>
        <w:rPr>
          <w:rFonts w:hint="eastAsia"/>
          <w:sz w:val="28"/>
          <w:szCs w:val="24"/>
        </w:rPr>
      </w:pPr>
      <w:r>
        <w:rPr>
          <w:rFonts w:hint="eastAsia"/>
          <w:sz w:val="28"/>
          <w:szCs w:val="24"/>
        </w:rPr>
        <w:t>根据信息获取方式，综合考虑伦潭水库突发环境事件类型、发生地点、污染物质种类和数量等情况，制定不同级别预警的启动条件。</w:t>
      </w:r>
    </w:p>
    <w:p>
      <w:pPr>
        <w:pStyle w:val="7"/>
        <w:spacing w:beforeLines="0" w:afterLines="0"/>
        <w:rPr>
          <w:rFonts w:hint="eastAsia"/>
          <w:sz w:val="30"/>
          <w:szCs w:val="24"/>
        </w:rPr>
      </w:pPr>
      <w:bookmarkStart w:id="36" w:name="_Toc12400"/>
      <w:r>
        <w:rPr>
          <w:rFonts w:hint="eastAsia"/>
          <w:sz w:val="30"/>
          <w:szCs w:val="24"/>
        </w:rPr>
        <w:t>红色预警启动条件</w:t>
      </w:r>
      <w:bookmarkEnd w:id="36"/>
    </w:p>
    <w:p>
      <w:pPr>
        <w:spacing w:beforeLines="0" w:afterLines="0"/>
        <w:rPr>
          <w:rFonts w:hint="eastAsia"/>
          <w:sz w:val="28"/>
          <w:szCs w:val="24"/>
        </w:rPr>
      </w:pPr>
      <w:r>
        <w:rPr>
          <w:rFonts w:hint="eastAsia"/>
          <w:sz w:val="28"/>
          <w:szCs w:val="24"/>
        </w:rPr>
        <w:t>（1）通过信息报告发现，在伦潭水库饮用水水源地保护区内发生突发环境事件。</w:t>
      </w:r>
    </w:p>
    <w:p>
      <w:pPr>
        <w:spacing w:beforeLines="0" w:afterLines="0"/>
        <w:rPr>
          <w:rFonts w:hint="eastAsia"/>
          <w:sz w:val="28"/>
          <w:szCs w:val="24"/>
        </w:rPr>
      </w:pPr>
      <w:r>
        <w:rPr>
          <w:rFonts w:hint="eastAsia"/>
          <w:sz w:val="28"/>
          <w:szCs w:val="24"/>
        </w:rPr>
        <w:t>（2）通过信息报告发现，在伦潭水库二级保护区上游汇水区域内发生固定源或流动源突发环境事件，或污染物已扩散至距水源保护区上游连接水体的直线距离不足100米的陆域或水域。</w:t>
      </w:r>
    </w:p>
    <w:p>
      <w:pPr>
        <w:spacing w:beforeLines="0" w:afterLines="0"/>
        <w:rPr>
          <w:rFonts w:hint="eastAsia"/>
          <w:sz w:val="28"/>
          <w:szCs w:val="24"/>
        </w:rPr>
      </w:pPr>
      <w:r>
        <w:rPr>
          <w:rFonts w:hint="eastAsia"/>
          <w:sz w:val="28"/>
          <w:szCs w:val="24"/>
        </w:rPr>
        <w:t>（3）通过信息报告发现，在伦潭水库饮用水源地二级保护区上游汇水区域发生固定源或流动源突发环境事件，或污染物已扩散至距水源保护区上游连接水体的直线距离不足200米的陆域或水域，经水质监测和信息研判，判断污染物迁移至取水口位置时，相应指标浓度仍会超标的。</w:t>
      </w:r>
    </w:p>
    <w:p>
      <w:pPr>
        <w:spacing w:beforeLines="0" w:afterLines="0"/>
        <w:rPr>
          <w:rFonts w:hint="eastAsia"/>
          <w:sz w:val="28"/>
          <w:szCs w:val="24"/>
        </w:rPr>
      </w:pPr>
      <w:r>
        <w:rPr>
          <w:rFonts w:hint="eastAsia"/>
          <w:sz w:val="28"/>
          <w:szCs w:val="24"/>
        </w:rPr>
        <w:t>（4）通过监测发现，伦潭水库饮用水源地水源保护区或其上游连接水体理化指标异常。</w:t>
      </w:r>
    </w:p>
    <w:p>
      <w:pPr>
        <w:spacing w:beforeLines="0" w:afterLines="0"/>
        <w:rPr>
          <w:rFonts w:hint="eastAsia"/>
          <w:sz w:val="28"/>
          <w:szCs w:val="24"/>
        </w:rPr>
      </w:pPr>
      <w:r>
        <w:rPr>
          <w:rFonts w:hint="eastAsia" w:ascii="楷体" w:hAnsi="楷体"/>
          <w:sz w:val="28"/>
          <w:szCs w:val="24"/>
        </w:rPr>
        <w:t>①</w:t>
      </w:r>
      <w:r>
        <w:rPr>
          <w:rFonts w:hint="eastAsia"/>
          <w:sz w:val="28"/>
          <w:szCs w:val="24"/>
        </w:rPr>
        <w:t>在伦潭水库饮用水源地一级保护区内，出现自动站水质监测指标超标或生物综合毒性异常，经实验室监测确认的；</w:t>
      </w:r>
    </w:p>
    <w:p>
      <w:pPr>
        <w:spacing w:beforeLines="0" w:afterLines="0"/>
        <w:rPr>
          <w:rFonts w:hint="eastAsia"/>
          <w:sz w:val="28"/>
          <w:szCs w:val="24"/>
        </w:rPr>
      </w:pPr>
      <w:r>
        <w:rPr>
          <w:rFonts w:hint="eastAsia" w:ascii="楷体" w:hAnsi="楷体"/>
          <w:sz w:val="28"/>
          <w:szCs w:val="24"/>
        </w:rPr>
        <w:t>②</w:t>
      </w:r>
      <w:r>
        <w:rPr>
          <w:rFonts w:hint="eastAsia"/>
          <w:sz w:val="28"/>
          <w:szCs w:val="24"/>
        </w:rPr>
        <w:t>伦潭水库饮用水水源地二级保护区上游出现水质监测指标、有毒有害物质或生物综合毒性异常，且污染物浓度持续升高的。</w:t>
      </w:r>
    </w:p>
    <w:p>
      <w:pPr>
        <w:spacing w:beforeLines="0" w:afterLines="0"/>
        <w:rPr>
          <w:rFonts w:hint="eastAsia"/>
          <w:sz w:val="28"/>
          <w:szCs w:val="24"/>
        </w:rPr>
      </w:pPr>
      <w:r>
        <w:rPr>
          <w:rFonts w:hint="eastAsia"/>
          <w:sz w:val="28"/>
          <w:szCs w:val="24"/>
        </w:rPr>
        <w:t>（5）通过监测发现，伦潭水库饮用水源地水源保护区或其上游连接水体感官性状异常，即水体出现异常颜色或气味的。</w:t>
      </w:r>
    </w:p>
    <w:p>
      <w:pPr>
        <w:spacing w:beforeLines="0" w:afterLines="0"/>
        <w:rPr>
          <w:rFonts w:hint="eastAsia"/>
          <w:sz w:val="28"/>
          <w:szCs w:val="24"/>
        </w:rPr>
      </w:pPr>
      <w:r>
        <w:rPr>
          <w:rFonts w:hint="eastAsia"/>
          <w:sz w:val="28"/>
          <w:szCs w:val="24"/>
        </w:rPr>
        <w:t>（6）通过监测发现，伦潭水库饮用水源地水源保护区或其上游连接水体生态指标异常，即水面出现大面积死鱼或生物综合毒性异常并经实验室监测后确认的。</w:t>
      </w:r>
    </w:p>
    <w:p>
      <w:pPr>
        <w:spacing w:beforeLines="0" w:afterLines="0"/>
        <w:rPr>
          <w:rFonts w:hint="eastAsia"/>
          <w:sz w:val="28"/>
          <w:szCs w:val="24"/>
        </w:rPr>
      </w:pPr>
      <w:r>
        <w:rPr>
          <w:rFonts w:hint="eastAsia"/>
          <w:sz w:val="28"/>
          <w:szCs w:val="24"/>
        </w:rPr>
        <w:t>（7）在水库范围内，出现藻密度监测指标异常（大于5.0×10</w:t>
      </w:r>
      <w:r>
        <w:rPr>
          <w:rFonts w:hint="eastAsia"/>
          <w:sz w:val="28"/>
          <w:szCs w:val="24"/>
          <w:vertAlign w:val="superscript"/>
        </w:rPr>
        <w:t>7</w:t>
      </w:r>
      <w:r>
        <w:rPr>
          <w:rFonts w:hint="eastAsia"/>
          <w:sz w:val="28"/>
          <w:szCs w:val="24"/>
        </w:rPr>
        <w:t>个/L），且经过重复监测，核定监测数据无误。</w:t>
      </w:r>
    </w:p>
    <w:p>
      <w:pPr>
        <w:pStyle w:val="7"/>
        <w:spacing w:beforeLines="0" w:afterLines="0"/>
        <w:rPr>
          <w:rFonts w:hint="eastAsia"/>
          <w:sz w:val="30"/>
          <w:szCs w:val="24"/>
        </w:rPr>
      </w:pPr>
      <w:bookmarkStart w:id="37" w:name="_Toc32582"/>
      <w:r>
        <w:rPr>
          <w:rFonts w:hint="eastAsia"/>
          <w:sz w:val="30"/>
          <w:szCs w:val="24"/>
        </w:rPr>
        <w:t>橙色预警启动条件</w:t>
      </w:r>
      <w:bookmarkEnd w:id="37"/>
    </w:p>
    <w:p>
      <w:pPr>
        <w:spacing w:beforeLines="0" w:afterLines="0"/>
        <w:rPr>
          <w:rFonts w:hint="eastAsia"/>
          <w:sz w:val="28"/>
          <w:szCs w:val="24"/>
        </w:rPr>
      </w:pPr>
      <w:r>
        <w:rPr>
          <w:rFonts w:hint="eastAsia"/>
          <w:sz w:val="28"/>
          <w:szCs w:val="24"/>
        </w:rPr>
        <w:t>（1）通过信息报告发现，并经应急专家组研判认为发生的突发环境事件对伦潭水库饮用水源地水质影响可能较小、可能不影响取水时。</w:t>
      </w:r>
    </w:p>
    <w:p>
      <w:pPr>
        <w:spacing w:beforeLines="0" w:afterLines="0"/>
        <w:rPr>
          <w:rFonts w:hint="eastAsia"/>
          <w:sz w:val="28"/>
          <w:szCs w:val="24"/>
        </w:rPr>
      </w:pPr>
      <w:r>
        <w:rPr>
          <w:rFonts w:hint="eastAsia"/>
          <w:sz w:val="28"/>
          <w:szCs w:val="24"/>
        </w:rPr>
        <w:t>（2）通过信息报告发现，在伦潭水库饮用水源地二级保护区上游汇水区域范围内发生固定源或流动源突发环境事件，或污染物已扩散至距水源保护区上游连接水体的直线距离不足200米的陆域或水域，经水质监测和信息研判，判断对伦潭水库水质影响可能较小、污染物迁移至取水口位置时，相应指标浓度达标，不影响取水时。</w:t>
      </w:r>
    </w:p>
    <w:p>
      <w:pPr>
        <w:spacing w:beforeLines="0" w:afterLines="0"/>
        <w:rPr>
          <w:rFonts w:hint="eastAsia"/>
          <w:sz w:val="28"/>
          <w:szCs w:val="24"/>
        </w:rPr>
      </w:pPr>
      <w:r>
        <w:rPr>
          <w:rFonts w:hint="eastAsia"/>
          <w:sz w:val="28"/>
          <w:szCs w:val="24"/>
        </w:rPr>
        <w:t>（3）通过监测发现，伦潭水库饮用水源地水源保护区或其上游连接水体理化指标异常。</w:t>
      </w:r>
    </w:p>
    <w:p>
      <w:pPr>
        <w:spacing w:beforeLines="0" w:afterLines="0"/>
        <w:rPr>
          <w:rFonts w:hint="eastAsia"/>
          <w:sz w:val="28"/>
          <w:szCs w:val="24"/>
        </w:rPr>
      </w:pPr>
      <w:r>
        <w:rPr>
          <w:rFonts w:hint="eastAsia" w:ascii="楷体" w:hAnsi="楷体"/>
          <w:sz w:val="28"/>
          <w:szCs w:val="24"/>
        </w:rPr>
        <w:t>①</w:t>
      </w:r>
      <w:r>
        <w:rPr>
          <w:rFonts w:hint="eastAsia"/>
          <w:sz w:val="28"/>
          <w:szCs w:val="24"/>
        </w:rPr>
        <w:t>在伦潭水库饮用水源地一级保护区内，出现自动站水质监测指标超标或生物综合毒性异常，经实验室监测后确认正常的；</w:t>
      </w:r>
    </w:p>
    <w:p>
      <w:pPr>
        <w:spacing w:beforeLines="0" w:afterLines="0"/>
        <w:rPr>
          <w:rFonts w:hint="eastAsia"/>
          <w:sz w:val="28"/>
          <w:szCs w:val="24"/>
        </w:rPr>
      </w:pPr>
      <w:r>
        <w:rPr>
          <w:rFonts w:hint="eastAsia" w:ascii="楷体" w:hAnsi="楷体"/>
          <w:sz w:val="28"/>
          <w:szCs w:val="24"/>
        </w:rPr>
        <w:t>②</w:t>
      </w:r>
      <w:r>
        <w:rPr>
          <w:rFonts w:hint="eastAsia"/>
          <w:sz w:val="28"/>
          <w:szCs w:val="24"/>
        </w:rPr>
        <w:t>伦潭水库饮用水源地二级保护区上游出现水质监测指标、有毒有害物质或生物综合毒性异常，但污染物浓度持续降低的。</w:t>
      </w:r>
    </w:p>
    <w:p>
      <w:pPr>
        <w:spacing w:beforeLines="0" w:afterLines="0"/>
        <w:rPr>
          <w:rFonts w:hint="eastAsia"/>
          <w:sz w:val="28"/>
          <w:szCs w:val="24"/>
        </w:rPr>
      </w:pPr>
      <w:r>
        <w:rPr>
          <w:rFonts w:hint="eastAsia"/>
          <w:sz w:val="28"/>
          <w:szCs w:val="24"/>
        </w:rPr>
        <w:t>（4）通过监测发现，伦潭水库饮用水源地水源保护区或其上游连接水体生态指标异常，即水面出现小面积死鱼或生物综合毒性异常并经实验室监测后确认正常的。</w:t>
      </w:r>
    </w:p>
    <w:p>
      <w:pPr>
        <w:spacing w:beforeLines="0" w:afterLines="0"/>
        <w:rPr>
          <w:rFonts w:hint="eastAsia"/>
          <w:sz w:val="28"/>
          <w:szCs w:val="24"/>
        </w:rPr>
      </w:pPr>
      <w:r>
        <w:rPr>
          <w:rFonts w:hint="eastAsia"/>
          <w:sz w:val="28"/>
          <w:szCs w:val="24"/>
        </w:rPr>
        <w:t>（5）在水库范围内，出现藻密度监测指标异常（大于1.0×10</w:t>
      </w:r>
      <w:r>
        <w:rPr>
          <w:rFonts w:hint="eastAsia"/>
          <w:sz w:val="28"/>
          <w:szCs w:val="24"/>
          <w:vertAlign w:val="superscript"/>
        </w:rPr>
        <w:t>7</w:t>
      </w:r>
      <w:r>
        <w:rPr>
          <w:rFonts w:hint="eastAsia"/>
          <w:sz w:val="28"/>
          <w:szCs w:val="24"/>
        </w:rPr>
        <w:t>个/L），且经过重复监测，核定监测数据无误。</w:t>
      </w:r>
    </w:p>
    <w:p>
      <w:pPr>
        <w:pStyle w:val="6"/>
        <w:spacing w:beforeLines="0" w:afterLines="0"/>
        <w:rPr>
          <w:rFonts w:hint="eastAsia"/>
          <w:sz w:val="32"/>
          <w:szCs w:val="24"/>
        </w:rPr>
      </w:pPr>
      <w:bookmarkStart w:id="38" w:name="_Toc13495"/>
      <w:r>
        <w:rPr>
          <w:rFonts w:hint="eastAsia"/>
          <w:sz w:val="32"/>
          <w:szCs w:val="24"/>
        </w:rPr>
        <w:t>发布预警和预警级别调整</w:t>
      </w:r>
      <w:bookmarkEnd w:id="38"/>
    </w:p>
    <w:p>
      <w:pPr>
        <w:spacing w:beforeLines="0" w:afterLines="0"/>
        <w:rPr>
          <w:rFonts w:hint="eastAsia"/>
          <w:sz w:val="28"/>
          <w:szCs w:val="24"/>
        </w:rPr>
      </w:pPr>
      <w:r>
        <w:rPr>
          <w:rFonts w:hint="eastAsia"/>
          <w:sz w:val="28"/>
          <w:szCs w:val="24"/>
        </w:rPr>
        <w:t>（1）预警发布责任单位</w:t>
      </w:r>
    </w:p>
    <w:p>
      <w:pPr>
        <w:spacing w:beforeLines="0" w:afterLines="0"/>
        <w:rPr>
          <w:rFonts w:hint="eastAsia"/>
          <w:sz w:val="28"/>
          <w:szCs w:val="24"/>
        </w:rPr>
      </w:pPr>
      <w:r>
        <w:rPr>
          <w:rFonts w:hint="eastAsia" w:ascii="楷体" w:hAnsi="楷体"/>
          <w:sz w:val="28"/>
          <w:szCs w:val="24"/>
        </w:rPr>
        <w:t>Ⅰ级</w:t>
      </w:r>
      <w:r>
        <w:rPr>
          <w:rFonts w:hint="eastAsia"/>
          <w:sz w:val="28"/>
          <w:szCs w:val="24"/>
        </w:rPr>
        <w:t>预警针对可能发生或引发较大级以上级别突发环境事件的，或事件已经发生，可能进一步扩大影响范围，造成较大危害的。</w:t>
      </w:r>
      <w:r>
        <w:rPr>
          <w:rFonts w:hint="eastAsia" w:ascii="楷体" w:hAnsi="楷体"/>
          <w:sz w:val="28"/>
          <w:szCs w:val="24"/>
        </w:rPr>
        <w:t>Ⅰ级</w:t>
      </w:r>
      <w:r>
        <w:rPr>
          <w:rFonts w:hint="eastAsia"/>
          <w:sz w:val="28"/>
          <w:szCs w:val="24"/>
        </w:rPr>
        <w:t>预警由现场应急指挥部上报铅山县人民政府，由铅山县人民政府发布并报上饶市人民政府、江西省人民政府和江西省生态环境厅备案。</w:t>
      </w:r>
    </w:p>
    <w:p>
      <w:pPr>
        <w:spacing w:beforeLines="0" w:afterLines="0"/>
        <w:rPr>
          <w:rFonts w:hint="eastAsia"/>
          <w:sz w:val="28"/>
          <w:szCs w:val="24"/>
        </w:rPr>
      </w:pPr>
      <w:r>
        <w:rPr>
          <w:rFonts w:hint="eastAsia" w:ascii="楷体" w:hAnsi="楷体"/>
          <w:sz w:val="28"/>
          <w:szCs w:val="24"/>
        </w:rPr>
        <w:t>Ⅱ级</w:t>
      </w:r>
      <w:r>
        <w:rPr>
          <w:rFonts w:hint="eastAsia"/>
          <w:sz w:val="28"/>
          <w:szCs w:val="24"/>
        </w:rPr>
        <w:t>预警针对可能发生一般突发环境事件。</w:t>
      </w:r>
      <w:r>
        <w:rPr>
          <w:rFonts w:hint="eastAsia" w:ascii="楷体" w:hAnsi="楷体"/>
          <w:sz w:val="28"/>
          <w:szCs w:val="24"/>
        </w:rPr>
        <w:t>Ⅱ级</w:t>
      </w:r>
      <w:r>
        <w:rPr>
          <w:rFonts w:hint="eastAsia"/>
          <w:sz w:val="28"/>
          <w:szCs w:val="24"/>
        </w:rPr>
        <w:t>预警由铅山县人民政府发布，并报上饶市人民政府、上饶市生态环境厅备案。。</w:t>
      </w:r>
    </w:p>
    <w:p>
      <w:pPr>
        <w:spacing w:beforeLines="0" w:afterLines="0"/>
        <w:rPr>
          <w:rFonts w:hint="eastAsia"/>
          <w:sz w:val="28"/>
          <w:szCs w:val="24"/>
        </w:rPr>
      </w:pPr>
      <w:r>
        <w:rPr>
          <w:rFonts w:hint="eastAsia"/>
          <w:sz w:val="28"/>
          <w:szCs w:val="24"/>
        </w:rPr>
        <w:t>（2）预警发布内容</w:t>
      </w:r>
    </w:p>
    <w:p>
      <w:pPr>
        <w:spacing w:beforeLines="0" w:afterLines="0"/>
        <w:rPr>
          <w:rFonts w:hint="eastAsia"/>
          <w:sz w:val="28"/>
          <w:szCs w:val="24"/>
        </w:rPr>
      </w:pPr>
      <w:r>
        <w:rPr>
          <w:rFonts w:hint="eastAsia"/>
          <w:sz w:val="28"/>
          <w:szCs w:val="24"/>
        </w:rPr>
        <w:t>预警信息发布工作应遵循“以人为本、预防为主，政府主导、部门联动，分类管理、分级预警，及时无偿、规范发布”的原则，及时进行发布。</w:t>
      </w:r>
    </w:p>
    <w:p>
      <w:pPr>
        <w:spacing w:beforeLines="0" w:afterLines="0"/>
        <w:rPr>
          <w:rFonts w:hint="eastAsia"/>
          <w:sz w:val="28"/>
          <w:szCs w:val="24"/>
        </w:rPr>
      </w:pPr>
      <w:r>
        <w:rPr>
          <w:rFonts w:hint="eastAsia"/>
          <w:sz w:val="28"/>
          <w:szCs w:val="24"/>
        </w:rPr>
        <w:t>预警信息发布后，应急指挥部各成员单位应立即做出响应，进入相应的应急工作状态，同时应依据已发布的预警级别，做好应急准备工作。各相关成员单位要实行 24 小时值守制度，保持通讯畅通，加强监测和会商，及时上报预警响应措施的执行情况。</w:t>
      </w:r>
    </w:p>
    <w:p>
      <w:pPr>
        <w:spacing w:beforeLines="0" w:afterLines="0"/>
        <w:rPr>
          <w:rFonts w:hint="eastAsia"/>
          <w:sz w:val="28"/>
          <w:szCs w:val="24"/>
        </w:rPr>
      </w:pPr>
      <w:r>
        <w:rPr>
          <w:rFonts w:hint="eastAsia"/>
          <w:sz w:val="28"/>
          <w:szCs w:val="24"/>
        </w:rPr>
        <w:t>预警信息内容：预警信息要素包括发布单位、发布时间、水源地突发事件的类别、起始时间、可能影响的范围、预警级别、警示事项、事态发展、相关措施、咨询电话等内容。</w:t>
      </w:r>
    </w:p>
    <w:p>
      <w:pPr>
        <w:spacing w:beforeLines="0" w:afterLines="0"/>
        <w:rPr>
          <w:rFonts w:hint="eastAsia"/>
          <w:sz w:val="28"/>
          <w:szCs w:val="24"/>
        </w:rPr>
      </w:pPr>
      <w:r>
        <w:rPr>
          <w:rFonts w:hint="eastAsia"/>
          <w:sz w:val="28"/>
          <w:szCs w:val="24"/>
        </w:rPr>
        <w:t>发布方式：预警信息的发布、调整和解除可通过广播、电视、报刊、通信、信息网络、宣传车或组织人员逐户通知等方式进行，对老、幼、病、残、孕等特殊人群以及学校等特殊场所和警报盲区应当采取有针对性的公告方式。</w:t>
      </w:r>
    </w:p>
    <w:p>
      <w:pPr>
        <w:spacing w:beforeLines="0" w:afterLines="0"/>
        <w:rPr>
          <w:rFonts w:hint="eastAsia"/>
          <w:sz w:val="28"/>
          <w:szCs w:val="24"/>
        </w:rPr>
      </w:pPr>
      <w:r>
        <w:rPr>
          <w:rFonts w:hint="eastAsia"/>
          <w:sz w:val="28"/>
          <w:szCs w:val="24"/>
        </w:rPr>
        <w:t>（3）预警级别调整</w:t>
      </w:r>
    </w:p>
    <w:p>
      <w:pPr>
        <w:spacing w:beforeLines="0" w:afterLines="0"/>
        <w:rPr>
          <w:rFonts w:hint="eastAsia"/>
          <w:sz w:val="28"/>
          <w:szCs w:val="24"/>
        </w:rPr>
      </w:pPr>
      <w:r>
        <w:rPr>
          <w:rFonts w:hint="eastAsia"/>
          <w:sz w:val="28"/>
          <w:szCs w:val="24"/>
        </w:rPr>
        <w:t>应急指挥部应加强对预警信息动态管理，根据事态发展变化，适时调整预警级别，更新预警信息内容，并重新发布、报告和通报有关情况。</w:t>
      </w:r>
      <w:r>
        <w:rPr>
          <w:rFonts w:hint="eastAsia" w:ascii="楷体" w:hAnsi="楷体"/>
          <w:sz w:val="28"/>
          <w:szCs w:val="24"/>
        </w:rPr>
        <w:t>Ⅱ级</w:t>
      </w:r>
      <w:r>
        <w:rPr>
          <w:rFonts w:hint="eastAsia"/>
          <w:sz w:val="28"/>
          <w:szCs w:val="24"/>
        </w:rPr>
        <w:t>预警信息发布后，若事态发展出现恶化趋势或采取的措施无法保障供水安全的，预警级别可上调。</w:t>
      </w:r>
    </w:p>
    <w:p>
      <w:pPr>
        <w:spacing w:beforeLines="0" w:afterLines="0"/>
        <w:rPr>
          <w:rFonts w:hint="eastAsia"/>
          <w:sz w:val="28"/>
          <w:szCs w:val="24"/>
        </w:rPr>
      </w:pPr>
      <w:r>
        <w:rPr>
          <w:rFonts w:hint="eastAsia"/>
          <w:sz w:val="28"/>
          <w:szCs w:val="24"/>
        </w:rPr>
        <w:t>（4）预警发布的对象</w:t>
      </w:r>
    </w:p>
    <w:p>
      <w:pPr>
        <w:spacing w:beforeLines="0" w:afterLines="0"/>
        <w:rPr>
          <w:rFonts w:hint="eastAsia"/>
          <w:sz w:val="28"/>
          <w:szCs w:val="24"/>
        </w:rPr>
      </w:pPr>
      <w:r>
        <w:rPr>
          <w:rFonts w:hint="eastAsia"/>
          <w:sz w:val="28"/>
          <w:szCs w:val="24"/>
        </w:rPr>
        <w:t>预警发布的对象，主要针对组织实施预警行动和应急处置行动的部门和单位。</w:t>
      </w:r>
    </w:p>
    <w:p>
      <w:pPr>
        <w:pStyle w:val="6"/>
        <w:spacing w:beforeLines="0" w:afterLines="0"/>
        <w:rPr>
          <w:rFonts w:hint="eastAsia"/>
          <w:sz w:val="32"/>
          <w:szCs w:val="24"/>
        </w:rPr>
      </w:pPr>
      <w:bookmarkStart w:id="39" w:name="_Toc952"/>
      <w:r>
        <w:rPr>
          <w:rFonts w:hint="eastAsia"/>
          <w:sz w:val="32"/>
          <w:szCs w:val="24"/>
        </w:rPr>
        <w:t>预警行动</w:t>
      </w:r>
      <w:bookmarkEnd w:id="39"/>
    </w:p>
    <w:p>
      <w:pPr>
        <w:spacing w:beforeLines="0" w:afterLines="0"/>
        <w:rPr>
          <w:rFonts w:hint="eastAsia"/>
          <w:sz w:val="28"/>
          <w:szCs w:val="24"/>
        </w:rPr>
      </w:pPr>
      <w:r>
        <w:rPr>
          <w:rFonts w:hint="eastAsia"/>
          <w:sz w:val="28"/>
          <w:szCs w:val="24"/>
        </w:rPr>
        <w:t>预警信息发布后，实施预警行动的组织部门和责任人应采取预警行动。一般情况下，发布红色预警时，现场应急指挥部的总指挥应当到达现场，组织开展应急响应工作。</w:t>
      </w:r>
    </w:p>
    <w:p>
      <w:pPr>
        <w:spacing w:beforeLines="0" w:afterLines="0"/>
        <w:rPr>
          <w:rFonts w:hint="eastAsia"/>
          <w:sz w:val="28"/>
          <w:szCs w:val="24"/>
        </w:rPr>
      </w:pPr>
      <w:r>
        <w:rPr>
          <w:rFonts w:hint="eastAsia"/>
          <w:sz w:val="28"/>
          <w:szCs w:val="24"/>
        </w:rPr>
        <w:t>预警行动包含以下内容：</w:t>
      </w:r>
    </w:p>
    <w:p>
      <w:pPr>
        <w:spacing w:beforeLines="0" w:afterLines="0"/>
        <w:rPr>
          <w:rFonts w:hint="eastAsia"/>
          <w:sz w:val="28"/>
          <w:szCs w:val="24"/>
        </w:rPr>
      </w:pPr>
      <w:r>
        <w:rPr>
          <w:rFonts w:hint="eastAsia"/>
          <w:sz w:val="28"/>
          <w:szCs w:val="24"/>
        </w:rPr>
        <w:t>（1）应急指挥部总指挥下达启动伦潭水库饮用水源地突发环境事件应急预案的命令；</w:t>
      </w:r>
    </w:p>
    <w:p>
      <w:pPr>
        <w:spacing w:beforeLines="0" w:afterLines="0"/>
        <w:rPr>
          <w:rFonts w:hint="eastAsia"/>
          <w:sz w:val="28"/>
          <w:szCs w:val="24"/>
        </w:rPr>
      </w:pPr>
      <w:r>
        <w:rPr>
          <w:rFonts w:hint="eastAsia"/>
          <w:sz w:val="28"/>
          <w:szCs w:val="24"/>
        </w:rPr>
        <w:t>（2）迅速组织专家根据事态发展判断事件级别和类型（指事故或自然灾害等），启动相应级别的应急预案；</w:t>
      </w:r>
    </w:p>
    <w:p>
      <w:pPr>
        <w:spacing w:beforeLines="0" w:afterLines="0"/>
        <w:rPr>
          <w:rFonts w:hint="eastAsia"/>
          <w:sz w:val="28"/>
          <w:szCs w:val="24"/>
        </w:rPr>
      </w:pPr>
      <w:r>
        <w:rPr>
          <w:rFonts w:hint="eastAsia"/>
          <w:sz w:val="28"/>
          <w:szCs w:val="24"/>
        </w:rPr>
        <w:t>（3）应急指挥部成员单位及现场应急工作组进入应急状态，组织应急专家对预警信息进行溯源分析，预估可能影响的范围和危害程序，同时按事件级别第一时间向铅山县人民政府报告应急处置情况；</w:t>
      </w:r>
    </w:p>
    <w:p>
      <w:pPr>
        <w:spacing w:beforeLines="0" w:afterLines="0"/>
        <w:rPr>
          <w:rFonts w:hint="eastAsia"/>
          <w:sz w:val="28"/>
          <w:szCs w:val="24"/>
        </w:rPr>
      </w:pPr>
      <w:r>
        <w:rPr>
          <w:rFonts w:hint="eastAsia"/>
          <w:sz w:val="28"/>
          <w:szCs w:val="24"/>
        </w:rPr>
        <w:t>（4）通知水厂进入待命状态，根据发生的地点、周围水系的分布以及水利设施情况，做好停止取水、深度处理、低压供水或启动备用水源等准备工作；</w:t>
      </w:r>
    </w:p>
    <w:p>
      <w:pPr>
        <w:spacing w:beforeLines="0" w:afterLines="0"/>
        <w:rPr>
          <w:rFonts w:hint="eastAsia"/>
          <w:sz w:val="28"/>
          <w:szCs w:val="24"/>
        </w:rPr>
      </w:pPr>
      <w:r>
        <w:rPr>
          <w:rFonts w:hint="eastAsia"/>
          <w:sz w:val="28"/>
          <w:szCs w:val="24"/>
        </w:rPr>
        <w:t>（5）铅山县水利局、气象局密切注意水文、水质和气象条件的变化对水源地水质的影响，随时掌握并报告事态进展情况。</w:t>
      </w:r>
    </w:p>
    <w:p>
      <w:pPr>
        <w:spacing w:beforeLines="0" w:afterLines="0"/>
        <w:rPr>
          <w:rFonts w:hint="eastAsia"/>
          <w:sz w:val="28"/>
          <w:szCs w:val="24"/>
        </w:rPr>
      </w:pPr>
      <w:r>
        <w:rPr>
          <w:rFonts w:hint="eastAsia"/>
          <w:sz w:val="28"/>
          <w:szCs w:val="24"/>
        </w:rPr>
        <w:t>（6）上饶市铅山生态环境局组织开展应急监测，对水源地和连接水体加强监测。</w:t>
      </w:r>
    </w:p>
    <w:p>
      <w:pPr>
        <w:spacing w:beforeLines="0" w:afterLines="0"/>
        <w:rPr>
          <w:rFonts w:hint="eastAsia"/>
          <w:sz w:val="28"/>
          <w:szCs w:val="24"/>
        </w:rPr>
      </w:pPr>
      <w:r>
        <w:rPr>
          <w:rFonts w:hint="eastAsia"/>
          <w:sz w:val="28"/>
          <w:szCs w:val="24"/>
        </w:rPr>
        <w:t>（7）对可能导致水源地突发环境事件的相关企业事业单位和其他生产经营者加强环境监管，封闭、隔离或者限制使用有关场所，中止可能导致危害扩大的行为和活动。</w:t>
      </w:r>
    </w:p>
    <w:p>
      <w:pPr>
        <w:spacing w:beforeLines="0" w:afterLines="0"/>
        <w:rPr>
          <w:rFonts w:hint="eastAsia"/>
          <w:sz w:val="28"/>
          <w:szCs w:val="24"/>
        </w:rPr>
      </w:pPr>
      <w:r>
        <w:rPr>
          <w:rFonts w:hint="eastAsia"/>
          <w:sz w:val="28"/>
          <w:szCs w:val="24"/>
        </w:rPr>
        <w:t>（8）铅山县应急管理局负责调集应急所需物资和设备，做好应急保障工作。</w:t>
      </w:r>
    </w:p>
    <w:p>
      <w:pPr>
        <w:spacing w:beforeLines="0" w:afterLines="0"/>
        <w:rPr>
          <w:rFonts w:hint="eastAsia"/>
          <w:sz w:val="28"/>
          <w:szCs w:val="24"/>
        </w:rPr>
      </w:pPr>
      <w:r>
        <w:rPr>
          <w:rFonts w:hint="eastAsia"/>
          <w:sz w:val="28"/>
          <w:szCs w:val="24"/>
        </w:rPr>
        <w:t>（9）组织转移、撤离或者疏散可能受到污染影响的人员，并妥善安置；同时，责令应急救援队伍、负有特定职责的人员进入待命状态，动员后备人员做好应急救援准备，并开展先期处置。</w:t>
      </w:r>
    </w:p>
    <w:p>
      <w:pPr>
        <w:spacing w:beforeLines="0" w:afterLines="0"/>
        <w:rPr>
          <w:rFonts w:hint="eastAsia"/>
          <w:sz w:val="28"/>
          <w:szCs w:val="24"/>
        </w:rPr>
      </w:pPr>
      <w:r>
        <w:rPr>
          <w:rFonts w:hint="eastAsia"/>
          <w:sz w:val="28"/>
          <w:szCs w:val="24"/>
        </w:rPr>
        <w:t>（10）铅山县公安局负责在危险区域设置提示或者警告标志；</w:t>
      </w:r>
    </w:p>
    <w:p>
      <w:pPr>
        <w:spacing w:beforeLines="0" w:afterLines="0"/>
        <w:rPr>
          <w:rFonts w:hint="eastAsia"/>
          <w:sz w:val="28"/>
          <w:szCs w:val="24"/>
        </w:rPr>
      </w:pPr>
      <w:r>
        <w:rPr>
          <w:rFonts w:hint="eastAsia"/>
          <w:sz w:val="28"/>
          <w:szCs w:val="24"/>
        </w:rPr>
        <w:t>（11）铅山县委宣传部在必要时及时通过电视、广播、报纸、互联网、手机短信等媒体向公众发布预警信息，并加强舆情监控，做好舆论引导和舆情应对工作。</w:t>
      </w:r>
    </w:p>
    <w:p>
      <w:pPr>
        <w:pStyle w:val="6"/>
        <w:spacing w:beforeLines="0" w:afterLines="0"/>
        <w:rPr>
          <w:rFonts w:hint="eastAsia"/>
          <w:sz w:val="32"/>
          <w:szCs w:val="24"/>
        </w:rPr>
      </w:pPr>
      <w:bookmarkStart w:id="40" w:name="_Toc2343"/>
      <w:r>
        <w:rPr>
          <w:rFonts w:hint="eastAsia"/>
          <w:sz w:val="32"/>
          <w:szCs w:val="24"/>
        </w:rPr>
        <w:t>预警解除</w:t>
      </w:r>
      <w:bookmarkEnd w:id="40"/>
    </w:p>
    <w:p>
      <w:pPr>
        <w:spacing w:beforeLines="0" w:afterLines="0"/>
        <w:rPr>
          <w:rFonts w:hint="eastAsia"/>
          <w:sz w:val="28"/>
          <w:szCs w:val="24"/>
        </w:rPr>
      </w:pPr>
      <w:r>
        <w:rPr>
          <w:rFonts w:hint="eastAsia"/>
          <w:sz w:val="28"/>
          <w:szCs w:val="24"/>
        </w:rPr>
        <w:t>当判断危险已经解除时，由发布预警的责任单位宣布解除预警，终止已经采取的有关行动和措施。</w:t>
      </w:r>
    </w:p>
    <w:p>
      <w:pPr>
        <w:spacing w:beforeLines="0" w:afterLines="0"/>
        <w:rPr>
          <w:rFonts w:hint="eastAsia"/>
          <w:sz w:val="28"/>
          <w:szCs w:val="24"/>
        </w:rPr>
      </w:pPr>
      <w:r>
        <w:rPr>
          <w:rFonts w:hint="eastAsia"/>
          <w:sz w:val="28"/>
          <w:szCs w:val="24"/>
        </w:rPr>
        <w:t>解除预警程序如下：</w:t>
      </w:r>
    </w:p>
    <w:p>
      <w:pPr>
        <w:spacing w:beforeLines="0" w:afterLines="0"/>
        <w:rPr>
          <w:rFonts w:hint="eastAsia"/>
          <w:sz w:val="28"/>
          <w:szCs w:val="24"/>
        </w:rPr>
      </w:pPr>
      <w:r>
        <w:rPr>
          <w:rFonts w:hint="eastAsia"/>
          <w:sz w:val="28"/>
          <w:szCs w:val="24"/>
        </w:rPr>
        <w:t>（1）现场应急指挥部根据现场情况以及听取应急专家组意见，确定预警的解除；</w:t>
      </w:r>
    </w:p>
    <w:p>
      <w:pPr>
        <w:spacing w:beforeLines="0" w:afterLines="0"/>
        <w:rPr>
          <w:rFonts w:hint="eastAsia"/>
          <w:sz w:val="28"/>
          <w:szCs w:val="24"/>
        </w:rPr>
      </w:pPr>
      <w:r>
        <w:rPr>
          <w:rFonts w:hint="eastAsia"/>
          <w:sz w:val="28"/>
          <w:szCs w:val="24"/>
        </w:rPr>
        <w:t>（2）通过协调办公室内部电话通知各应急单位人员。</w:t>
      </w:r>
    </w:p>
    <w:p>
      <w:pPr>
        <w:spacing w:beforeLines="0" w:afterLines="0"/>
        <w:rPr>
          <w:rFonts w:hint="eastAsia"/>
          <w:sz w:val="28"/>
          <w:szCs w:val="24"/>
        </w:rPr>
      </w:pPr>
      <w:r>
        <w:rPr>
          <w:rFonts w:hint="eastAsia"/>
          <w:sz w:val="28"/>
          <w:szCs w:val="24"/>
        </w:rPr>
        <w:t>（3）预警解除后，应急指挥部应继续履行职能，做好善后处置。</w:t>
      </w:r>
    </w:p>
    <w:p>
      <w:pPr>
        <w:pStyle w:val="5"/>
        <w:spacing w:beforeLines="0" w:afterLines="0"/>
        <w:rPr>
          <w:rFonts w:hint="eastAsia"/>
          <w:sz w:val="36"/>
          <w:szCs w:val="24"/>
        </w:rPr>
      </w:pPr>
      <w:bookmarkStart w:id="41" w:name="_Toc8249"/>
      <w:r>
        <w:rPr>
          <w:rFonts w:hint="eastAsia"/>
          <w:sz w:val="36"/>
          <w:szCs w:val="24"/>
        </w:rPr>
        <w:t>响应分级</w:t>
      </w:r>
      <w:bookmarkEnd w:id="41"/>
    </w:p>
    <w:p>
      <w:pPr>
        <w:spacing w:beforeLines="0" w:afterLines="0"/>
        <w:rPr>
          <w:rFonts w:hint="eastAsia" w:eastAsia="Times New Roman"/>
          <w:sz w:val="28"/>
          <w:szCs w:val="24"/>
        </w:rPr>
      </w:pPr>
      <w:r>
        <w:rPr>
          <w:rFonts w:hint="eastAsia"/>
          <w:sz w:val="28"/>
          <w:szCs w:val="24"/>
        </w:rPr>
        <w:t>按尧塘水库突发环境事件的可控性、严重程度和影响范围，将突发环境事件的应急响应分两级：</w:t>
      </w:r>
      <w:r>
        <w:rPr>
          <w:rFonts w:hint="eastAsia" w:ascii="楷体" w:hAnsi="楷体"/>
          <w:sz w:val="28"/>
          <w:szCs w:val="24"/>
        </w:rPr>
        <w:t>Ⅰ</w:t>
      </w:r>
      <w:r>
        <w:rPr>
          <w:rFonts w:hint="eastAsia"/>
          <w:sz w:val="28"/>
          <w:szCs w:val="24"/>
        </w:rPr>
        <w:t>级应急响应、</w:t>
      </w:r>
      <w:r>
        <w:rPr>
          <w:rFonts w:hint="eastAsia" w:ascii="楷体" w:hAnsi="楷体"/>
          <w:sz w:val="28"/>
          <w:szCs w:val="24"/>
        </w:rPr>
        <w:t>Ⅱ</w:t>
      </w:r>
      <w:r>
        <w:rPr>
          <w:rFonts w:hint="eastAsia"/>
          <w:sz w:val="28"/>
          <w:szCs w:val="24"/>
        </w:rPr>
        <w:t>级应急响应。具体响应分级见下表。</w:t>
      </w:r>
    </w:p>
    <w:p>
      <w:pPr>
        <w:pStyle w:val="9"/>
        <w:spacing w:beforeLines="0" w:afterLines="0"/>
        <w:rPr>
          <w:rFonts w:hint="eastAsia" w:eastAsia="Times New Roman"/>
          <w:sz w:val="21"/>
          <w:szCs w:val="24"/>
        </w:rPr>
      </w:pPr>
      <w:r>
        <w:rPr>
          <w:rFonts w:hint="eastAsia"/>
          <w:sz w:val="21"/>
          <w:szCs w:val="24"/>
        </w:rPr>
        <w:t xml:space="preserve">表 </w:t>
      </w:r>
      <w:r>
        <w:rPr>
          <w:rFonts w:hint="eastAsia"/>
          <w:sz w:val="21"/>
          <w:szCs w:val="24"/>
        </w:rPr>
        <w:fldChar w:fldCharType="begin"/>
      </w:r>
      <w:r>
        <w:rPr>
          <w:rFonts w:hint="eastAsia"/>
          <w:sz w:val="21"/>
          <w:szCs w:val="24"/>
        </w:rPr>
        <w:instrText xml:space="preserve"> STYLEREF 1 \s </w:instrText>
      </w:r>
      <w:r>
        <w:rPr>
          <w:rFonts w:hint="eastAsia"/>
          <w:sz w:val="21"/>
          <w:szCs w:val="24"/>
        </w:rPr>
        <w:fldChar w:fldCharType="separate"/>
      </w:r>
      <w:r>
        <w:rPr>
          <w:rFonts w:hint="eastAsia"/>
          <w:sz w:val="21"/>
          <w:szCs w:val="24"/>
        </w:rPr>
        <w:t>3</w:t>
      </w:r>
      <w:r>
        <w:rPr>
          <w:rFonts w:hint="eastAsia"/>
          <w:sz w:val="21"/>
          <w:szCs w:val="24"/>
        </w:rPr>
        <w:fldChar w:fldCharType="end"/>
      </w:r>
      <w:r>
        <w:rPr>
          <w:rFonts w:hint="eastAsia"/>
          <w:sz w:val="21"/>
          <w:szCs w:val="24"/>
        </w:rPr>
        <w:t>.</w:t>
      </w:r>
      <w:r>
        <w:rPr>
          <w:rFonts w:hint="eastAsia"/>
          <w:sz w:val="21"/>
          <w:szCs w:val="24"/>
        </w:rPr>
        <w:fldChar w:fldCharType="begin"/>
      </w:r>
      <w:r>
        <w:rPr>
          <w:rFonts w:hint="eastAsia"/>
          <w:sz w:val="21"/>
          <w:szCs w:val="24"/>
        </w:rPr>
        <w:instrText xml:space="preserve"> SEQ 表 \* ARABIC \s 1 </w:instrText>
      </w:r>
      <w:r>
        <w:rPr>
          <w:rFonts w:hint="eastAsia"/>
          <w:sz w:val="21"/>
          <w:szCs w:val="24"/>
        </w:rPr>
        <w:fldChar w:fldCharType="separate"/>
      </w:r>
      <w:r>
        <w:rPr>
          <w:rFonts w:hint="eastAsia"/>
          <w:sz w:val="21"/>
          <w:szCs w:val="24"/>
        </w:rPr>
        <w:t>2</w:t>
      </w:r>
      <w:r>
        <w:rPr>
          <w:rFonts w:hint="eastAsia"/>
          <w:sz w:val="21"/>
          <w:szCs w:val="24"/>
        </w:rPr>
        <w:fldChar w:fldCharType="end"/>
      </w:r>
      <w:r>
        <w:rPr>
          <w:rFonts w:hint="eastAsia" w:eastAsia="Times New Roman"/>
          <w:sz w:val="21"/>
          <w:szCs w:val="24"/>
        </w:rPr>
        <w:t xml:space="preserve">  </w:t>
      </w:r>
      <w:r>
        <w:rPr>
          <w:rFonts w:hint="eastAsia"/>
          <w:sz w:val="21"/>
          <w:szCs w:val="24"/>
        </w:rPr>
        <w:t>应急响应分级表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200"/>
        <w:gridCol w:w="4371"/>
        <w:gridCol w:w="915"/>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115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eastAsia="Times New Roman"/>
                <w:sz w:val="21"/>
                <w:szCs w:val="24"/>
              </w:rPr>
            </w:pPr>
            <w:r>
              <w:rPr>
                <w:rFonts w:hint="eastAsia"/>
                <w:sz w:val="21"/>
                <w:szCs w:val="24"/>
              </w:rPr>
              <w:t>响应等级</w:t>
            </w:r>
          </w:p>
        </w:tc>
        <w:tc>
          <w:tcPr>
            <w:tcW w:w="120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eastAsia="Times New Roman"/>
                <w:sz w:val="21"/>
                <w:szCs w:val="24"/>
              </w:rPr>
            </w:pPr>
            <w:r>
              <w:rPr>
                <w:rFonts w:hint="eastAsia"/>
                <w:sz w:val="21"/>
                <w:szCs w:val="24"/>
              </w:rPr>
              <w:t>响应方式</w:t>
            </w:r>
          </w:p>
        </w:tc>
        <w:tc>
          <w:tcPr>
            <w:tcW w:w="437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eastAsia="Times New Roman"/>
                <w:sz w:val="21"/>
                <w:szCs w:val="24"/>
              </w:rPr>
            </w:pPr>
            <w:r>
              <w:rPr>
                <w:rFonts w:hint="eastAsia"/>
                <w:sz w:val="21"/>
                <w:szCs w:val="24"/>
              </w:rPr>
              <w:t>启动条件</w:t>
            </w: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eastAsia="Times New Roman"/>
                <w:sz w:val="21"/>
                <w:szCs w:val="24"/>
              </w:rPr>
            </w:pPr>
            <w:r>
              <w:rPr>
                <w:rFonts w:hint="eastAsia"/>
                <w:sz w:val="21"/>
                <w:szCs w:val="24"/>
              </w:rPr>
              <w:t>危害</w:t>
            </w:r>
          </w:p>
          <w:p>
            <w:pPr>
              <w:pStyle w:val="70"/>
              <w:spacing w:beforeLines="0" w:afterLines="0"/>
              <w:rPr>
                <w:rFonts w:hint="eastAsia" w:eastAsia="Times New Roman"/>
                <w:sz w:val="21"/>
                <w:szCs w:val="24"/>
              </w:rPr>
            </w:pPr>
            <w:r>
              <w:rPr>
                <w:rFonts w:hint="eastAsia"/>
                <w:sz w:val="21"/>
                <w:szCs w:val="24"/>
              </w:rPr>
              <w:t>大小</w:t>
            </w: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eastAsia="Times New Roman"/>
                <w:sz w:val="21"/>
                <w:szCs w:val="24"/>
              </w:rPr>
            </w:pPr>
            <w:r>
              <w:rPr>
                <w:rFonts w:hint="eastAsia"/>
                <w:sz w:val="21"/>
                <w:szCs w:val="24"/>
              </w:rPr>
              <w:t>响应</w:t>
            </w:r>
          </w:p>
          <w:p>
            <w:pPr>
              <w:pStyle w:val="70"/>
              <w:spacing w:beforeLines="0" w:afterLines="0"/>
              <w:rPr>
                <w:rFonts w:hint="eastAsia" w:eastAsia="Times New Roman"/>
                <w:sz w:val="21"/>
                <w:szCs w:val="24"/>
              </w:rPr>
            </w:pPr>
            <w:r>
              <w:rPr>
                <w:rFonts w:hint="eastAsia"/>
                <w:sz w:val="21"/>
                <w:szCs w:val="24"/>
              </w:rPr>
              <w:t>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15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eastAsia="Times New Roman"/>
                <w:sz w:val="21"/>
                <w:szCs w:val="24"/>
              </w:rPr>
            </w:pPr>
            <w:r>
              <w:rPr>
                <w:rFonts w:hint="eastAsia" w:ascii="楷体" w:hAnsi="楷体"/>
                <w:sz w:val="21"/>
                <w:szCs w:val="24"/>
              </w:rPr>
              <w:t>Ⅰ</w:t>
            </w:r>
            <w:r>
              <w:rPr>
                <w:rFonts w:hint="eastAsia"/>
                <w:sz w:val="21"/>
                <w:szCs w:val="24"/>
              </w:rPr>
              <w:t>级</w:t>
            </w:r>
          </w:p>
          <w:p>
            <w:pPr>
              <w:pStyle w:val="70"/>
              <w:spacing w:beforeLines="0" w:afterLines="0"/>
              <w:rPr>
                <w:rFonts w:hint="eastAsia" w:eastAsia="Times New Roman"/>
                <w:sz w:val="21"/>
                <w:szCs w:val="24"/>
              </w:rPr>
            </w:pPr>
            <w:r>
              <w:rPr>
                <w:rFonts w:hint="eastAsia"/>
                <w:sz w:val="21"/>
                <w:szCs w:val="24"/>
              </w:rPr>
              <w:t>响应</w:t>
            </w:r>
          </w:p>
        </w:tc>
        <w:tc>
          <w:tcPr>
            <w:tcW w:w="120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ascii="楷体" w:hAnsi="楷体"/>
                <w:sz w:val="21"/>
                <w:szCs w:val="24"/>
              </w:rPr>
            </w:pPr>
            <w:r>
              <w:rPr>
                <w:rFonts w:hint="eastAsia" w:ascii="楷体" w:hAnsi="楷体"/>
                <w:sz w:val="21"/>
                <w:szCs w:val="24"/>
              </w:rPr>
              <w:t>是对预警等级为Ⅰ级情形的响应。</w:t>
            </w:r>
          </w:p>
        </w:tc>
        <w:tc>
          <w:tcPr>
            <w:tcW w:w="437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jc w:val="left"/>
              <w:rPr>
                <w:rFonts w:hint="eastAsia" w:ascii="楷体" w:hAnsi="楷体"/>
                <w:sz w:val="21"/>
                <w:szCs w:val="24"/>
              </w:rPr>
            </w:pPr>
            <w:r>
              <w:rPr>
                <w:rFonts w:hint="eastAsia" w:ascii="楷体" w:hAnsi="楷体"/>
                <w:sz w:val="21"/>
                <w:szCs w:val="24"/>
              </w:rPr>
              <w:t>①在水域保护区内发生突发环境事件。</w:t>
            </w:r>
          </w:p>
          <w:p>
            <w:pPr>
              <w:pStyle w:val="70"/>
              <w:spacing w:beforeLines="0" w:afterLines="0"/>
              <w:jc w:val="left"/>
              <w:rPr>
                <w:rFonts w:hint="eastAsia" w:ascii="楷体" w:hAnsi="楷体"/>
                <w:sz w:val="21"/>
                <w:szCs w:val="24"/>
              </w:rPr>
            </w:pPr>
            <w:r>
              <w:rPr>
                <w:rFonts w:hint="eastAsia" w:ascii="楷体" w:hAnsi="楷体"/>
                <w:sz w:val="21"/>
                <w:szCs w:val="24"/>
              </w:rPr>
              <w:t>②在陆域保护区内发生突发环境事件，且距离连接水体或汇水渠道不足</w:t>
            </w:r>
            <w:r>
              <w:rPr>
                <w:rFonts w:hint="eastAsia" w:eastAsia="Times New Roman"/>
                <w:sz w:val="21"/>
                <w:szCs w:val="24"/>
              </w:rPr>
              <w:t>100m</w:t>
            </w:r>
            <w:r>
              <w:rPr>
                <w:rFonts w:hint="eastAsia" w:ascii="楷体" w:hAnsi="楷体"/>
                <w:sz w:val="21"/>
                <w:szCs w:val="24"/>
              </w:rPr>
              <w:t>的；</w:t>
            </w:r>
          </w:p>
          <w:p>
            <w:pPr>
              <w:pStyle w:val="70"/>
              <w:spacing w:beforeLines="0" w:afterLines="0"/>
              <w:jc w:val="left"/>
              <w:rPr>
                <w:rFonts w:hint="eastAsia" w:ascii="楷体" w:hAnsi="楷体"/>
                <w:sz w:val="21"/>
                <w:szCs w:val="24"/>
              </w:rPr>
            </w:pPr>
            <w:r>
              <w:rPr>
                <w:rFonts w:hint="eastAsia" w:ascii="楷体" w:hAnsi="楷体"/>
                <w:sz w:val="21"/>
                <w:szCs w:val="24"/>
              </w:rPr>
              <w:t>③在距离连接水体或汇水渠道不足</w:t>
            </w:r>
            <w:r>
              <w:rPr>
                <w:rFonts w:hint="eastAsia" w:eastAsia="Times New Roman"/>
                <w:sz w:val="21"/>
                <w:szCs w:val="24"/>
              </w:rPr>
              <w:t>200m</w:t>
            </w:r>
            <w:r>
              <w:rPr>
                <w:rFonts w:hint="eastAsia" w:ascii="楷体" w:hAnsi="楷体"/>
                <w:sz w:val="21"/>
                <w:szCs w:val="24"/>
              </w:rPr>
              <w:t>的陆域保护区内发生突发环境事件，且判断污染物迁移至取水口位置时，相应指标浓度仍会超标的；</w:t>
            </w:r>
          </w:p>
          <w:p>
            <w:pPr>
              <w:pStyle w:val="70"/>
              <w:spacing w:beforeLines="0" w:afterLines="0"/>
              <w:jc w:val="left"/>
              <w:rPr>
                <w:rFonts w:hint="eastAsia" w:ascii="楷体" w:hAnsi="楷体"/>
                <w:sz w:val="21"/>
                <w:szCs w:val="24"/>
              </w:rPr>
            </w:pPr>
            <w:r>
              <w:rPr>
                <w:rFonts w:hint="eastAsia" w:ascii="楷体" w:hAnsi="楷体"/>
                <w:sz w:val="21"/>
                <w:szCs w:val="24"/>
              </w:rPr>
              <w:t>④通过监测发现，在水域保护区内，出现水质监测指标超标或生物综合毒性异常，经实验室监测确认的，或污染物浓度持续升高的；</w:t>
            </w:r>
          </w:p>
          <w:p>
            <w:pPr>
              <w:pStyle w:val="70"/>
              <w:spacing w:beforeLines="0" w:afterLines="0"/>
              <w:jc w:val="left"/>
              <w:rPr>
                <w:rFonts w:hint="eastAsia" w:ascii="楷体" w:hAnsi="楷体"/>
                <w:sz w:val="21"/>
                <w:szCs w:val="24"/>
              </w:rPr>
            </w:pPr>
            <w:r>
              <w:rPr>
                <w:rFonts w:hint="eastAsia" w:ascii="楷体" w:hAnsi="楷体"/>
                <w:sz w:val="21"/>
                <w:szCs w:val="24"/>
              </w:rPr>
              <w:t>⑤水域保护区、陆域保护区的汇水渠内水体感官性状异常，即水体出现异常颜色或气味的；</w:t>
            </w:r>
          </w:p>
          <w:p>
            <w:pPr>
              <w:pStyle w:val="70"/>
              <w:spacing w:beforeLines="0" w:afterLines="0"/>
              <w:jc w:val="left"/>
              <w:rPr>
                <w:rFonts w:hint="eastAsia" w:ascii="楷体" w:hAnsi="楷体"/>
                <w:sz w:val="21"/>
                <w:szCs w:val="24"/>
              </w:rPr>
            </w:pPr>
            <w:r>
              <w:rPr>
                <w:rFonts w:hint="eastAsia" w:ascii="楷体" w:hAnsi="楷体"/>
                <w:sz w:val="21"/>
                <w:szCs w:val="24"/>
              </w:rPr>
              <w:t>⑥通过监测发现，在水源保护区、陆域保护区汇水渠内水体生态指标异常，即水面出现大面积死鱼或生物综合毒性异常并经实验室监测后确认的。</w:t>
            </w: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ascii="楷体" w:hAnsi="楷体"/>
                <w:sz w:val="21"/>
                <w:szCs w:val="24"/>
              </w:rPr>
            </w:pPr>
            <w:r>
              <w:rPr>
                <w:rFonts w:hint="eastAsia" w:ascii="楷体" w:hAnsi="楷体"/>
                <w:sz w:val="21"/>
                <w:szCs w:val="24"/>
              </w:rPr>
              <w:t>严重</w:t>
            </w: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ascii="楷体" w:hAnsi="楷体"/>
                <w:sz w:val="21"/>
                <w:szCs w:val="24"/>
              </w:rPr>
            </w:pPr>
            <w:r>
              <w:rPr>
                <w:rFonts w:hint="eastAsia" w:ascii="楷体" w:hAnsi="楷体"/>
                <w:sz w:val="21"/>
                <w:szCs w:val="24"/>
              </w:rPr>
              <w:t>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15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ascii="楷体" w:hAnsi="楷体"/>
                <w:sz w:val="21"/>
                <w:szCs w:val="24"/>
              </w:rPr>
            </w:pPr>
            <w:r>
              <w:rPr>
                <w:rFonts w:hint="eastAsia" w:ascii="楷体" w:hAnsi="楷体"/>
                <w:sz w:val="21"/>
                <w:szCs w:val="24"/>
              </w:rPr>
              <w:t>Ⅱ级</w:t>
            </w:r>
          </w:p>
          <w:p>
            <w:pPr>
              <w:pStyle w:val="70"/>
              <w:spacing w:beforeLines="0" w:afterLines="0"/>
              <w:rPr>
                <w:rFonts w:hint="eastAsia" w:ascii="楷体" w:hAnsi="楷体"/>
                <w:sz w:val="21"/>
                <w:szCs w:val="24"/>
              </w:rPr>
            </w:pPr>
            <w:r>
              <w:rPr>
                <w:rFonts w:hint="eastAsia" w:ascii="楷体" w:hAnsi="楷体"/>
                <w:sz w:val="21"/>
                <w:szCs w:val="24"/>
              </w:rPr>
              <w:t>响应</w:t>
            </w:r>
          </w:p>
        </w:tc>
        <w:tc>
          <w:tcPr>
            <w:tcW w:w="120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ascii="楷体" w:hAnsi="楷体"/>
                <w:sz w:val="21"/>
                <w:szCs w:val="24"/>
              </w:rPr>
            </w:pPr>
            <w:r>
              <w:rPr>
                <w:rFonts w:hint="eastAsia" w:ascii="楷体" w:hAnsi="楷体"/>
                <w:sz w:val="21"/>
                <w:szCs w:val="24"/>
              </w:rPr>
              <w:t>是对预警等级为Ⅱ级情形的响应。</w:t>
            </w:r>
          </w:p>
        </w:tc>
        <w:tc>
          <w:tcPr>
            <w:tcW w:w="437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jc w:val="left"/>
              <w:rPr>
                <w:rFonts w:hint="eastAsia" w:ascii="楷体" w:hAnsi="楷体"/>
                <w:sz w:val="21"/>
                <w:szCs w:val="24"/>
              </w:rPr>
            </w:pPr>
            <w:r>
              <w:rPr>
                <w:rFonts w:hint="eastAsia" w:ascii="楷体" w:hAnsi="楷体"/>
                <w:sz w:val="21"/>
                <w:szCs w:val="24"/>
              </w:rPr>
              <w:t>①在距离水体或汇水渠道超过</w:t>
            </w:r>
            <w:r>
              <w:rPr>
                <w:rFonts w:hint="eastAsia" w:eastAsia="Times New Roman"/>
                <w:sz w:val="21"/>
                <w:szCs w:val="24"/>
              </w:rPr>
              <w:t>200m</w:t>
            </w:r>
            <w:r>
              <w:rPr>
                <w:rFonts w:hint="eastAsia" w:ascii="楷体" w:hAnsi="楷体"/>
                <w:sz w:val="21"/>
                <w:szCs w:val="24"/>
              </w:rPr>
              <w:t>的陆域二级保护区发生的突发环境事件的；</w:t>
            </w:r>
          </w:p>
          <w:p>
            <w:pPr>
              <w:pStyle w:val="70"/>
              <w:spacing w:beforeLines="0" w:afterLines="0"/>
              <w:jc w:val="left"/>
              <w:rPr>
                <w:rFonts w:hint="eastAsia" w:ascii="楷体" w:hAnsi="楷体"/>
                <w:sz w:val="21"/>
                <w:szCs w:val="24"/>
              </w:rPr>
            </w:pPr>
            <w:r>
              <w:rPr>
                <w:rFonts w:hint="eastAsia" w:ascii="楷体" w:hAnsi="楷体"/>
                <w:sz w:val="21"/>
                <w:szCs w:val="24"/>
              </w:rPr>
              <w:t>②在距离水体或汇水渠道距离在</w:t>
            </w:r>
            <w:r>
              <w:rPr>
                <w:rFonts w:hint="eastAsia" w:eastAsia="Times New Roman"/>
                <w:sz w:val="21"/>
                <w:szCs w:val="24"/>
              </w:rPr>
              <w:t>100~200m</w:t>
            </w:r>
            <w:r>
              <w:rPr>
                <w:rFonts w:hint="eastAsia" w:ascii="楷体" w:hAnsi="楷体"/>
                <w:sz w:val="21"/>
                <w:szCs w:val="24"/>
              </w:rPr>
              <w:t>范围的陆域二级保护区发生突发环境事件，且污染物迁移至取水口位置时，相应指标浓度不会超标的；</w:t>
            </w:r>
          </w:p>
          <w:p>
            <w:pPr>
              <w:pStyle w:val="70"/>
              <w:spacing w:beforeLines="0" w:afterLines="0"/>
              <w:jc w:val="left"/>
              <w:rPr>
                <w:rFonts w:hint="eastAsia" w:ascii="楷体" w:hAnsi="楷体"/>
                <w:sz w:val="21"/>
                <w:szCs w:val="24"/>
              </w:rPr>
            </w:pPr>
            <w:r>
              <w:rPr>
                <w:rFonts w:hint="eastAsia" w:ascii="楷体" w:hAnsi="楷体"/>
                <w:sz w:val="21"/>
                <w:szCs w:val="24"/>
              </w:rPr>
              <w:t>③通过监测发现，在水域保护区内，出现水质监测指标或生物综合毒性异常，但未超标，且经继续监测，发现未继续升高的；</w:t>
            </w:r>
          </w:p>
          <w:p>
            <w:pPr>
              <w:pStyle w:val="70"/>
              <w:spacing w:beforeLines="0" w:afterLines="0"/>
              <w:jc w:val="left"/>
              <w:rPr>
                <w:rFonts w:hint="eastAsia" w:ascii="楷体" w:hAnsi="楷体"/>
                <w:sz w:val="21"/>
                <w:szCs w:val="24"/>
              </w:rPr>
            </w:pPr>
            <w:r>
              <w:rPr>
                <w:rFonts w:hint="eastAsia" w:ascii="楷体" w:hAnsi="楷体"/>
                <w:sz w:val="21"/>
                <w:szCs w:val="24"/>
              </w:rPr>
              <w:t>④通过监测发现，在水域保护区内，发现有水体生态指标异常，但未导致严重后果的。</w:t>
            </w: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ascii="楷体" w:hAnsi="楷体"/>
                <w:sz w:val="21"/>
                <w:szCs w:val="24"/>
              </w:rPr>
            </w:pPr>
            <w:r>
              <w:rPr>
                <w:rFonts w:hint="eastAsia" w:ascii="楷体" w:hAnsi="楷体"/>
                <w:sz w:val="21"/>
                <w:szCs w:val="24"/>
              </w:rPr>
              <w:t>较大</w:t>
            </w:r>
          </w:p>
        </w:tc>
        <w:tc>
          <w:tcPr>
            <w:tcW w:w="8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ascii="楷体" w:hAnsi="楷体"/>
                <w:sz w:val="21"/>
                <w:szCs w:val="24"/>
              </w:rPr>
            </w:pPr>
            <w:r>
              <w:rPr>
                <w:rFonts w:hint="eastAsia" w:ascii="楷体" w:hAnsi="楷体"/>
                <w:sz w:val="21"/>
                <w:szCs w:val="24"/>
              </w:rPr>
              <w:t>应急组织机构人员</w:t>
            </w:r>
          </w:p>
        </w:tc>
      </w:tr>
    </w:tbl>
    <w:p>
      <w:pPr>
        <w:spacing w:beforeLines="0" w:afterLines="0"/>
        <w:rPr>
          <w:rFonts w:hint="eastAsia" w:eastAsia="Times New Roman"/>
          <w:sz w:val="28"/>
          <w:szCs w:val="24"/>
        </w:rPr>
      </w:pPr>
      <w:r>
        <w:rPr>
          <w:rFonts w:hint="eastAsia"/>
          <w:sz w:val="28"/>
          <w:szCs w:val="24"/>
        </w:rPr>
        <w:t>应急响应分级原则按照上表执行，根据事态发展，一旦事故超出本级应急处置能力时，应及时请求上一级应急响应或向上级政府部门请求支援。</w:t>
      </w:r>
    </w:p>
    <w:p>
      <w:pPr>
        <w:spacing w:beforeLines="0" w:afterLines="0"/>
        <w:rPr>
          <w:rFonts w:hint="eastAsia" w:eastAsia="Times New Roman"/>
          <w:sz w:val="28"/>
          <w:szCs w:val="24"/>
        </w:rPr>
      </w:pPr>
      <w:r>
        <w:rPr>
          <w:rFonts w:hint="eastAsia"/>
          <w:sz w:val="28"/>
          <w:szCs w:val="24"/>
        </w:rPr>
        <w:t>当水源地不能满足饮用水水质要求时，应立即启动水厂的应急预案。</w:t>
      </w:r>
    </w:p>
    <w:p>
      <w:pPr>
        <w:pStyle w:val="5"/>
        <w:spacing w:beforeLines="0" w:afterLines="0"/>
        <w:rPr>
          <w:rFonts w:hint="eastAsia"/>
          <w:sz w:val="36"/>
          <w:szCs w:val="24"/>
        </w:rPr>
      </w:pPr>
      <w:bookmarkStart w:id="42" w:name="_Toc10451"/>
      <w:r>
        <w:rPr>
          <w:rFonts w:hint="eastAsia"/>
          <w:sz w:val="36"/>
          <w:szCs w:val="24"/>
        </w:rPr>
        <w:t>信息报告与通报</w:t>
      </w:r>
      <w:bookmarkEnd w:id="42"/>
    </w:p>
    <w:p>
      <w:pPr>
        <w:spacing w:beforeLines="0" w:afterLines="0"/>
        <w:rPr>
          <w:rFonts w:hint="eastAsia"/>
          <w:sz w:val="28"/>
          <w:szCs w:val="24"/>
        </w:rPr>
      </w:pPr>
      <w:r>
        <w:rPr>
          <w:rFonts w:hint="eastAsia"/>
          <w:sz w:val="28"/>
          <w:szCs w:val="24"/>
        </w:rPr>
        <w:t>突发环境事件信息报告应坚持及时、准确、规范的原则，做到即到即报，及时核实、加强研判，随时续报，决不允许迟报、谎报、瞒报、错报和漏报。</w:t>
      </w:r>
    </w:p>
    <w:p>
      <w:pPr>
        <w:pStyle w:val="6"/>
        <w:spacing w:beforeLines="0" w:afterLines="0"/>
        <w:rPr>
          <w:rFonts w:hint="eastAsia"/>
          <w:sz w:val="32"/>
          <w:szCs w:val="24"/>
        </w:rPr>
      </w:pPr>
      <w:bookmarkStart w:id="43" w:name="_Toc6598"/>
      <w:r>
        <w:rPr>
          <w:rFonts w:hint="eastAsia"/>
          <w:sz w:val="32"/>
          <w:szCs w:val="24"/>
        </w:rPr>
        <w:t>信息报告</w:t>
      </w:r>
      <w:bookmarkEnd w:id="43"/>
    </w:p>
    <w:p>
      <w:pPr>
        <w:spacing w:beforeLines="0" w:afterLines="0"/>
        <w:rPr>
          <w:rFonts w:hint="eastAsia"/>
          <w:sz w:val="28"/>
          <w:szCs w:val="24"/>
        </w:rPr>
      </w:pPr>
      <w:r>
        <w:rPr>
          <w:rFonts w:hint="eastAsia"/>
          <w:sz w:val="28"/>
          <w:szCs w:val="24"/>
        </w:rPr>
        <w:t>（1）报警：一旦发现伦潭水库水源地突发环境事件后，事发责任单位、责任人或知情人（包含：铅山县人民政府及其相关部门、企事业单位、社会团体、群众个体）应第一时间向铅山县突发环境事件应急指挥部报告，或立即拨打 0793-5160256 向上饶市铅山生态环境局报告，或通过拨打“110”“119”“12345”等公共举报热线电话、网络等形式向铅山县有关行政主管部门报告。</w:t>
      </w:r>
    </w:p>
    <w:p>
      <w:pPr>
        <w:spacing w:beforeLines="0" w:afterLines="0"/>
        <w:rPr>
          <w:rFonts w:hint="eastAsia"/>
          <w:sz w:val="28"/>
          <w:szCs w:val="24"/>
        </w:rPr>
      </w:pPr>
      <w:r>
        <w:rPr>
          <w:rFonts w:hint="eastAsia"/>
          <w:sz w:val="28"/>
          <w:szCs w:val="24"/>
        </w:rPr>
        <w:t>（2）接报：生态环境部门及其他政府职能部门有责任接收来自各方面的有关伦潭水库水源地突发环境事件信息，并如实记录接报信息如报告内容、信息来源和形式、报告时间、报告人、电话号码等基础信息，接报后及时通报指挥部协调办公室。</w:t>
      </w:r>
    </w:p>
    <w:p>
      <w:pPr>
        <w:spacing w:beforeLines="0" w:afterLines="0"/>
        <w:rPr>
          <w:rFonts w:hint="eastAsia"/>
          <w:sz w:val="28"/>
          <w:szCs w:val="24"/>
        </w:rPr>
      </w:pPr>
      <w:r>
        <w:rPr>
          <w:rFonts w:hint="eastAsia"/>
          <w:sz w:val="28"/>
          <w:szCs w:val="24"/>
        </w:rPr>
        <w:t>指挥部协调办公室在接报后，根据突发事件性质分派核查，核查单位应在 1 小时内组织对事件信息进行核查，核实后将有关书面报告材料或电话记录内容及时向县政府报告并通报各相关责任单位。</w:t>
      </w:r>
    </w:p>
    <w:p>
      <w:pPr>
        <w:spacing w:beforeLines="0" w:afterLines="0"/>
        <w:rPr>
          <w:rFonts w:hint="eastAsia"/>
          <w:sz w:val="28"/>
          <w:szCs w:val="24"/>
        </w:rPr>
      </w:pPr>
      <w:r>
        <w:rPr>
          <w:rFonts w:hint="eastAsia"/>
          <w:sz w:val="28"/>
          <w:szCs w:val="24"/>
        </w:rPr>
        <w:t>（3）报告：伦潭水库水源地突发环境事件的报告分为初报、续报和处理结果报告。初报是发现或得知突发环境事件后的首次上报；续报在查清有关基本情况、事件发展情况后随时上报；处理结果报告在突发环境事件处理完毕后上报。</w:t>
      </w:r>
    </w:p>
    <w:p>
      <w:pPr>
        <w:spacing w:beforeLines="0" w:afterLines="0"/>
        <w:rPr>
          <w:rFonts w:hint="eastAsia"/>
          <w:sz w:val="28"/>
          <w:szCs w:val="24"/>
        </w:rPr>
      </w:pPr>
      <w:r>
        <w:rPr>
          <w:rFonts w:hint="eastAsia"/>
          <w:sz w:val="28"/>
          <w:szCs w:val="24"/>
        </w:rPr>
        <w:t>初报：应当报告事件的发生时间、地点、信息来源、事件起因和性质及类别、基本过程、主要污染物或污染物质、污染程度、监测数据、饮用水源地等环境敏感点受影响情况、事件发展趋势、处置情况、拟采取的措施以及下一步工作建议等初步情况。</w:t>
      </w:r>
    </w:p>
    <w:p>
      <w:pPr>
        <w:spacing w:beforeLines="0" w:afterLines="0"/>
        <w:rPr>
          <w:rFonts w:hint="eastAsia"/>
          <w:sz w:val="28"/>
          <w:szCs w:val="24"/>
        </w:rPr>
      </w:pPr>
      <w:r>
        <w:rPr>
          <w:rFonts w:hint="eastAsia"/>
          <w:sz w:val="28"/>
          <w:szCs w:val="24"/>
        </w:rPr>
        <w:t>续报：应在初报的基础上，报告有关应急处置进展情况，主要报告实时监测情况，污染源排查和事故调查及各项应急措施实施等动态情况。</w:t>
      </w:r>
    </w:p>
    <w:p>
      <w:pPr>
        <w:spacing w:beforeLines="0" w:afterLines="0"/>
        <w:rPr>
          <w:rFonts w:hint="eastAsia"/>
          <w:sz w:val="28"/>
          <w:szCs w:val="24"/>
        </w:rPr>
      </w:pPr>
      <w:r>
        <w:rPr>
          <w:rFonts w:hint="eastAsia"/>
          <w:sz w:val="28"/>
          <w:szCs w:val="24"/>
        </w:rPr>
        <w:t>处理结果报告：应在初报和续报的基础上，报告处理集中式饮用水源地突发环境事件的措施、过程和结果，事件潜在或间接的危害以及损失、社会影响、处理后的遗留问题、责任追究、恢复重建等详细情况。</w:t>
      </w:r>
    </w:p>
    <w:p>
      <w:pPr>
        <w:spacing w:beforeLines="0" w:afterLines="0"/>
        <w:rPr>
          <w:rFonts w:hint="eastAsia"/>
          <w:sz w:val="28"/>
          <w:szCs w:val="24"/>
        </w:rPr>
      </w:pPr>
      <w:r>
        <w:rPr>
          <w:rFonts w:hint="eastAsia"/>
          <w:sz w:val="28"/>
          <w:szCs w:val="24"/>
        </w:rPr>
        <w:t>信息报告应当采用电话直报和传真、网络邮寄和面呈等书面报告方式相结合的方式上报，情况紧急时，初报可通过电话报告，但应当及时补充书面报告材料。书面报告中应当说明突发环境事件报告单位、报告签发人、联系人及联系方式等内容，并尽可能提供地图、图片、视频信息以及相关多媒体资料，提高信息报送的速度和质量。</w:t>
      </w:r>
    </w:p>
    <w:p>
      <w:pPr>
        <w:pStyle w:val="6"/>
        <w:spacing w:beforeLines="0" w:afterLines="0"/>
        <w:rPr>
          <w:rFonts w:hint="eastAsia"/>
          <w:sz w:val="32"/>
          <w:szCs w:val="24"/>
        </w:rPr>
      </w:pPr>
      <w:bookmarkStart w:id="44" w:name="_Toc2582"/>
      <w:r>
        <w:rPr>
          <w:rFonts w:hint="eastAsia"/>
          <w:sz w:val="32"/>
          <w:szCs w:val="24"/>
        </w:rPr>
        <w:t>信息通报</w:t>
      </w:r>
      <w:bookmarkEnd w:id="44"/>
    </w:p>
    <w:p>
      <w:pPr>
        <w:spacing w:beforeLines="0" w:afterLines="0"/>
        <w:rPr>
          <w:rFonts w:hint="eastAsia"/>
          <w:sz w:val="28"/>
          <w:szCs w:val="24"/>
        </w:rPr>
      </w:pPr>
      <w:r>
        <w:rPr>
          <w:rFonts w:hint="eastAsia"/>
          <w:sz w:val="28"/>
          <w:szCs w:val="24"/>
        </w:rPr>
        <w:t>对经核实的伦潭水库水源地突发环境事件，接报的有关部门应向铅山县人民政府和有关部门通报。通报的部门至少应包括生态环境、水利、应急管理、卫生等部门；根据水源地突发环境事件的类型和情景，还应通报消防（遇火灾爆炸）、交通（遇水上运输事故）、公安（遇火灾爆炸、道路运输事故）、应急管理、农业（遇大面积死鱼）等部门。</w:t>
      </w:r>
    </w:p>
    <w:p>
      <w:pPr>
        <w:spacing w:beforeLines="0" w:afterLines="0"/>
        <w:rPr>
          <w:rFonts w:hint="eastAsia"/>
          <w:sz w:val="28"/>
          <w:szCs w:val="24"/>
        </w:rPr>
      </w:pPr>
      <w:r>
        <w:rPr>
          <w:rFonts w:hint="eastAsia"/>
          <w:sz w:val="28"/>
          <w:szCs w:val="24"/>
        </w:rPr>
        <w:t>在事发后或接报第一时间内，应急指挥部应快速组织专业人员进行现场调查和确认，对突发环境事件的性质和类别做出初步认定。</w:t>
      </w:r>
    </w:p>
    <w:p>
      <w:pPr>
        <w:spacing w:beforeLines="0" w:afterLines="0"/>
        <w:rPr>
          <w:rFonts w:hint="eastAsia"/>
          <w:sz w:val="28"/>
          <w:szCs w:val="24"/>
        </w:rPr>
      </w:pPr>
      <w:r>
        <w:rPr>
          <w:rFonts w:hint="eastAsia"/>
          <w:sz w:val="28"/>
          <w:szCs w:val="24"/>
        </w:rPr>
        <w:t>（1）对初步认定为红色突发环境事件的，上饶市铅山生态环境局和协调办公室应当在15分钟内向铅山县人民政府、上饶市生态环境局和江西省生态环境厅报告。</w:t>
      </w:r>
    </w:p>
    <w:p>
      <w:pPr>
        <w:spacing w:beforeLines="0" w:afterLines="0"/>
        <w:rPr>
          <w:rFonts w:hint="eastAsia"/>
          <w:sz w:val="28"/>
          <w:szCs w:val="24"/>
        </w:rPr>
      </w:pPr>
      <w:r>
        <w:rPr>
          <w:rFonts w:hint="eastAsia"/>
          <w:sz w:val="28"/>
          <w:szCs w:val="24"/>
        </w:rPr>
        <w:t>（2）对初步认定为橙色突发环境事件的，上饶市铅山生态环境局和协调办公室应当在1小时内向铅山县人民政府报告。</w:t>
      </w:r>
    </w:p>
    <w:p>
      <w:pPr>
        <w:spacing w:beforeLines="0" w:afterLines="0"/>
        <w:rPr>
          <w:rFonts w:hint="eastAsia"/>
          <w:sz w:val="28"/>
          <w:szCs w:val="24"/>
        </w:rPr>
      </w:pPr>
      <w:r>
        <w:rPr>
          <w:rFonts w:hint="eastAsia"/>
          <w:sz w:val="28"/>
          <w:szCs w:val="24"/>
        </w:rPr>
        <w:t>（3）突发环境事件处置过程中事件级别发生变化的，上饶市铅山生态环境局和协调办公室应当按照变化后的级别报告信息。</w:t>
      </w:r>
    </w:p>
    <w:p>
      <w:pPr>
        <w:pStyle w:val="5"/>
        <w:spacing w:beforeLines="0" w:afterLines="0"/>
        <w:rPr>
          <w:rFonts w:hint="eastAsia"/>
          <w:sz w:val="36"/>
          <w:szCs w:val="24"/>
        </w:rPr>
      </w:pPr>
      <w:bookmarkStart w:id="45" w:name="_Toc1371"/>
      <w:r>
        <w:rPr>
          <w:rFonts w:hint="eastAsia"/>
          <w:sz w:val="36"/>
          <w:szCs w:val="24"/>
        </w:rPr>
        <w:t>事态研判</w:t>
      </w:r>
      <w:bookmarkEnd w:id="45"/>
    </w:p>
    <w:p>
      <w:pPr>
        <w:spacing w:beforeLines="0" w:afterLines="0"/>
        <w:rPr>
          <w:rFonts w:hint="eastAsia"/>
          <w:sz w:val="28"/>
          <w:szCs w:val="24"/>
        </w:rPr>
      </w:pPr>
      <w:r>
        <w:rPr>
          <w:rFonts w:hint="eastAsia"/>
          <w:sz w:val="28"/>
          <w:szCs w:val="24"/>
        </w:rPr>
        <w:t>发布预警后，由应急指挥部总指挥、副总指挥、协调办公室、专项工作组成员，迅速组建现场应急指挥部以及参加应急救援的各个工作组，开展事态研判。</w:t>
      </w:r>
    </w:p>
    <w:p>
      <w:pPr>
        <w:spacing w:beforeLines="0" w:afterLines="0"/>
        <w:rPr>
          <w:rFonts w:hint="eastAsia"/>
          <w:sz w:val="28"/>
          <w:szCs w:val="24"/>
        </w:rPr>
      </w:pPr>
      <w:r>
        <w:rPr>
          <w:rFonts w:hint="eastAsia"/>
          <w:sz w:val="28"/>
          <w:szCs w:val="24"/>
        </w:rPr>
        <w:t>事态快速研判是控制事件发展的保障，预警发布同时，应急指挥部组建的现场专家组应迅速对发生地点时间、污染物数量和面积、应急监测数据等事件信息进行分析研判，制定不同事件类型（如固定源、流动源或是自然灾害）状况下的现场应急处置方案；根据事件进展情况和形势动态，提出相应的对策和意见；对突发环境事件的危害范围、发展趋势作出科学预测；参与污染程度、危害范围、事件等级的判定，对污染区域的隔离与解禁、人员撤离与返回等重大防护措施的决策提供技术依据；指导各现场应急工作组进行应急处理与处置；指导环境应急工作的评价，进行事件的中长期环境的评估。</w:t>
      </w:r>
    </w:p>
    <w:p>
      <w:pPr>
        <w:pStyle w:val="5"/>
        <w:spacing w:beforeLines="0" w:afterLines="0"/>
        <w:rPr>
          <w:rFonts w:hint="eastAsia"/>
          <w:sz w:val="36"/>
          <w:szCs w:val="24"/>
        </w:rPr>
      </w:pPr>
      <w:bookmarkStart w:id="46" w:name="_Toc11745"/>
      <w:r>
        <w:rPr>
          <w:rFonts w:hint="eastAsia"/>
          <w:sz w:val="36"/>
          <w:szCs w:val="24"/>
        </w:rPr>
        <w:t>应急监测</w:t>
      </w:r>
      <w:bookmarkEnd w:id="46"/>
    </w:p>
    <w:p>
      <w:pPr>
        <w:pStyle w:val="6"/>
        <w:spacing w:beforeLines="0" w:afterLines="0"/>
        <w:rPr>
          <w:rFonts w:hint="eastAsia"/>
          <w:sz w:val="32"/>
          <w:szCs w:val="24"/>
        </w:rPr>
      </w:pPr>
      <w:bookmarkStart w:id="47" w:name="_Toc10362"/>
      <w:r>
        <w:rPr>
          <w:rFonts w:hint="eastAsia"/>
          <w:sz w:val="32"/>
          <w:szCs w:val="24"/>
        </w:rPr>
        <w:t>应急监测程序</w:t>
      </w:r>
      <w:bookmarkEnd w:id="47"/>
    </w:p>
    <w:p>
      <w:pPr>
        <w:spacing w:beforeLines="0" w:afterLines="0"/>
        <w:rPr>
          <w:rFonts w:hint="eastAsia"/>
          <w:sz w:val="28"/>
          <w:szCs w:val="24"/>
        </w:rPr>
      </w:pPr>
      <w:r>
        <w:rPr>
          <w:rFonts w:hint="eastAsia"/>
          <w:sz w:val="28"/>
          <w:szCs w:val="24"/>
        </w:rPr>
        <w:t>应急监测应按照《突发环境事件应急监测技术规范》（HJ589-2010）规定，在第一时间结合污染现场的实际情况，制定包括监测项目、监测范围、布设监测点位、监测频次、现场采样、现场与实验室分析、监测过程质量控制、监测数据整理分析、监测过程总结等内容的监测方案，安排专业采样人员采样，采取不同点位相同间隔时间（通常为1小时）同步采样监测方式，对污染物质的种类、数量、浓度、影响范围进行监测，结合扩散规律分析变化趋势及可能的危害，形成监测报告，并安排人员对应急监测情况进行全过程记录，建立应急监测档案。</w:t>
      </w:r>
    </w:p>
    <w:p>
      <w:pPr>
        <w:spacing w:beforeLines="0" w:afterLines="0"/>
        <w:rPr>
          <w:rFonts w:hint="eastAsia"/>
          <w:sz w:val="28"/>
          <w:szCs w:val="24"/>
        </w:rPr>
      </w:pPr>
      <w:r>
        <w:rPr>
          <w:rFonts w:hint="eastAsia"/>
          <w:sz w:val="28"/>
          <w:szCs w:val="24"/>
        </w:rPr>
        <w:t>应急监测数据的整理分析应本着及时快速报送的原则，以电话、传真、快报、简报、监测报告等形式，将监测结果在第一时间上报给现场应急指挥部。根据现场应急指挥部终止应急处置命令，形成应急监测总结报告，报现场应急指挥部。</w:t>
      </w:r>
    </w:p>
    <w:p>
      <w:pPr>
        <w:pStyle w:val="6"/>
        <w:spacing w:beforeLines="0" w:afterLines="0"/>
        <w:rPr>
          <w:rFonts w:hint="eastAsia"/>
          <w:sz w:val="32"/>
          <w:szCs w:val="24"/>
        </w:rPr>
      </w:pPr>
      <w:bookmarkStart w:id="48" w:name="_Toc21151"/>
      <w:r>
        <w:rPr>
          <w:rFonts w:hint="eastAsia"/>
          <w:sz w:val="32"/>
          <w:szCs w:val="24"/>
        </w:rPr>
        <w:t>应急监测方案</w:t>
      </w:r>
      <w:bookmarkEnd w:id="48"/>
    </w:p>
    <w:p>
      <w:pPr>
        <w:spacing w:beforeLines="0" w:afterLines="0"/>
        <w:rPr>
          <w:rFonts w:hint="eastAsia"/>
          <w:sz w:val="28"/>
          <w:szCs w:val="24"/>
        </w:rPr>
      </w:pPr>
      <w:r>
        <w:rPr>
          <w:rFonts w:hint="eastAsia"/>
          <w:sz w:val="28"/>
          <w:szCs w:val="24"/>
        </w:rPr>
        <w:t>应急监测方案应包括依据的技术规范、实施人员、布点原则、采样频次和注意事项、监测结果记录和报告方式等。</w:t>
      </w:r>
    </w:p>
    <w:p>
      <w:pPr>
        <w:spacing w:beforeLines="0" w:afterLines="0"/>
        <w:rPr>
          <w:rFonts w:hint="eastAsia"/>
          <w:sz w:val="28"/>
          <w:szCs w:val="24"/>
        </w:rPr>
      </w:pPr>
      <w:r>
        <w:rPr>
          <w:rFonts w:hint="eastAsia"/>
          <w:sz w:val="28"/>
          <w:szCs w:val="24"/>
        </w:rPr>
        <w:t>应急监测重点是抓住污染带前锋、峰值位置和浓度变化，对污染带移动过程形成动态监控。当污染来源不明时，先通过应急监测确定特征污染物成份，再进行污染源排查和先期处置。</w:t>
      </w:r>
    </w:p>
    <w:p>
      <w:pPr>
        <w:spacing w:beforeLines="0" w:afterLines="0"/>
        <w:rPr>
          <w:rFonts w:hint="eastAsia"/>
          <w:sz w:val="28"/>
          <w:szCs w:val="24"/>
        </w:rPr>
      </w:pPr>
      <w:r>
        <w:rPr>
          <w:rFonts w:hint="eastAsia"/>
          <w:sz w:val="28"/>
          <w:szCs w:val="24"/>
        </w:rPr>
        <w:t>（1）监测范围</w:t>
      </w:r>
    </w:p>
    <w:p>
      <w:pPr>
        <w:spacing w:beforeLines="0" w:afterLines="0"/>
        <w:rPr>
          <w:rFonts w:hint="eastAsia"/>
          <w:sz w:val="28"/>
          <w:szCs w:val="24"/>
        </w:rPr>
      </w:pPr>
      <w:r>
        <w:rPr>
          <w:rFonts w:hint="eastAsia"/>
          <w:sz w:val="28"/>
          <w:szCs w:val="24"/>
        </w:rPr>
        <w:t>尽量涵盖伦潭水库水源地突发环境事件的污染范围，并包括事件可能影响区域和污染物本底浓度的监测区域。</w:t>
      </w:r>
    </w:p>
    <w:p>
      <w:pPr>
        <w:spacing w:beforeLines="0" w:afterLines="0"/>
        <w:rPr>
          <w:rFonts w:hint="eastAsia"/>
          <w:sz w:val="28"/>
          <w:szCs w:val="24"/>
        </w:rPr>
      </w:pPr>
      <w:r>
        <w:rPr>
          <w:rFonts w:hint="eastAsia"/>
          <w:sz w:val="28"/>
          <w:szCs w:val="24"/>
        </w:rPr>
        <w:t>（2）监测布点及频次</w:t>
      </w:r>
    </w:p>
    <w:p>
      <w:pPr>
        <w:spacing w:beforeLines="0" w:afterLines="0"/>
        <w:rPr>
          <w:rFonts w:hint="eastAsia"/>
          <w:sz w:val="28"/>
          <w:szCs w:val="24"/>
        </w:rPr>
      </w:pPr>
      <w:r>
        <w:rPr>
          <w:rFonts w:hint="eastAsia"/>
          <w:sz w:val="28"/>
          <w:szCs w:val="24"/>
        </w:rPr>
        <w:t>按照《突发环境事件应急监测技术规范》（HJ589-2010）要求，根据污染现场的具体情况和污染区域的特性进行布点。</w:t>
      </w:r>
    </w:p>
    <w:p>
      <w:pPr>
        <w:spacing w:beforeLines="0" w:afterLines="0"/>
        <w:rPr>
          <w:rFonts w:hint="eastAsia"/>
          <w:sz w:val="28"/>
          <w:szCs w:val="24"/>
        </w:rPr>
      </w:pPr>
      <w:r>
        <w:rPr>
          <w:rFonts w:hint="eastAsia" w:ascii="楷体" w:hAnsi="楷体"/>
          <w:sz w:val="28"/>
          <w:szCs w:val="24"/>
        </w:rPr>
        <w:t>①</w:t>
      </w:r>
      <w:r>
        <w:rPr>
          <w:rFonts w:hint="eastAsia"/>
          <w:sz w:val="28"/>
          <w:szCs w:val="24"/>
        </w:rPr>
        <w:t>对发生在伦潭水库上游河流的水体污染突发事故，应在事故发生地及其下游布点，同时在事故发生地上游一定距离布设对照断面，在河流入库口以及取水口也必须设采样断面。</w:t>
      </w:r>
    </w:p>
    <w:p>
      <w:pPr>
        <w:spacing w:beforeLines="0" w:afterLines="0"/>
        <w:rPr>
          <w:rFonts w:hint="eastAsia"/>
          <w:sz w:val="28"/>
          <w:szCs w:val="24"/>
        </w:rPr>
      </w:pPr>
      <w:r>
        <w:rPr>
          <w:rFonts w:hint="eastAsia" w:ascii="楷体" w:hAnsi="楷体"/>
          <w:sz w:val="28"/>
          <w:szCs w:val="24"/>
        </w:rPr>
        <w:t>②</w:t>
      </w:r>
      <w:r>
        <w:rPr>
          <w:rFonts w:hint="eastAsia"/>
          <w:sz w:val="28"/>
          <w:szCs w:val="24"/>
        </w:rPr>
        <w:t>对直接发生在伦潭水库库域内的水体污染突发环境事故，采样点布设应以事故发生地为中心，按水流方向在一定间隔的扇形或圆形布点，并根据污染物的特性在不同水层采样，同时根据水流流向，在其上游适当距离布设对照断面，并在饮用水取水口处分层设置采样断面。</w:t>
      </w:r>
    </w:p>
    <w:p>
      <w:pPr>
        <w:spacing w:beforeLines="0" w:afterLines="0"/>
        <w:rPr>
          <w:rFonts w:hint="eastAsia"/>
          <w:sz w:val="28"/>
          <w:szCs w:val="24"/>
        </w:rPr>
      </w:pPr>
      <w:r>
        <w:rPr>
          <w:rFonts w:hint="eastAsia" w:ascii="楷体" w:hAnsi="楷体"/>
          <w:sz w:val="28"/>
          <w:szCs w:val="24"/>
        </w:rPr>
        <w:t>③</w:t>
      </w:r>
      <w:r>
        <w:rPr>
          <w:rFonts w:hint="eastAsia"/>
          <w:sz w:val="28"/>
          <w:szCs w:val="24"/>
        </w:rPr>
        <w:t>对发生在上游汇水区域内的土壤污染突发环境事故，土壤监测应以事故地点为中心，按一定间隔的圆形布点采样，并根据污染物的特性在不同深度采样，同时采集对照样品。</w:t>
      </w:r>
    </w:p>
    <w:p>
      <w:pPr>
        <w:spacing w:beforeLines="0" w:afterLines="0"/>
        <w:rPr>
          <w:rFonts w:hint="eastAsia"/>
          <w:sz w:val="28"/>
          <w:szCs w:val="24"/>
        </w:rPr>
      </w:pPr>
      <w:r>
        <w:rPr>
          <w:rFonts w:hint="eastAsia" w:ascii="楷体" w:hAnsi="楷体"/>
          <w:sz w:val="28"/>
          <w:szCs w:val="24"/>
        </w:rPr>
        <w:t>④</w:t>
      </w:r>
      <w:r>
        <w:rPr>
          <w:rFonts w:hint="eastAsia"/>
          <w:sz w:val="28"/>
          <w:szCs w:val="24"/>
        </w:rPr>
        <w:t>对可能影响水体的大气污染突发事故，应以事故地点为中心，在下风向按一定间隔的扇形或圆形布点，并根据污染物的特性在不同高度采样，同时在事故点的上风向适当位置布设对照点，同时对可能受污染影响的水域以及伦潭水库取水口等敏感点设置采样点，采样过程中应注意风向变化，及时调整采样点位置。</w:t>
      </w:r>
    </w:p>
    <w:p>
      <w:pPr>
        <w:spacing w:beforeLines="0" w:afterLines="0"/>
        <w:rPr>
          <w:rFonts w:hint="eastAsia"/>
          <w:sz w:val="28"/>
          <w:szCs w:val="24"/>
        </w:rPr>
      </w:pPr>
      <w:r>
        <w:rPr>
          <w:rFonts w:hint="eastAsia" w:ascii="楷体" w:hAnsi="楷体"/>
          <w:sz w:val="28"/>
          <w:szCs w:val="24"/>
        </w:rPr>
        <w:t>⑤</w:t>
      </w:r>
      <w:r>
        <w:rPr>
          <w:rFonts w:hint="eastAsia"/>
          <w:sz w:val="28"/>
          <w:szCs w:val="24"/>
        </w:rPr>
        <w:t>对于水华灾害突发事件，应在伦潭水库整个库域的不同水层布设监测点。</w:t>
      </w:r>
    </w:p>
    <w:p>
      <w:pPr>
        <w:spacing w:beforeLines="0" w:afterLines="0"/>
        <w:rPr>
          <w:rFonts w:hint="eastAsia"/>
          <w:sz w:val="28"/>
          <w:szCs w:val="24"/>
        </w:rPr>
      </w:pPr>
      <w:r>
        <w:rPr>
          <w:rFonts w:hint="eastAsia"/>
          <w:sz w:val="28"/>
          <w:szCs w:val="24"/>
        </w:rPr>
        <w:t>监测时间及频率：事故发生后连续取样（每隔 1h 同步采样），监测水质变化情况，直到恢复正常。</w:t>
      </w:r>
    </w:p>
    <w:p>
      <w:pPr>
        <w:spacing w:beforeLines="0" w:afterLines="0"/>
        <w:rPr>
          <w:rFonts w:hint="eastAsia"/>
          <w:sz w:val="28"/>
          <w:szCs w:val="24"/>
        </w:rPr>
      </w:pPr>
      <w:r>
        <w:rPr>
          <w:rFonts w:hint="eastAsia"/>
          <w:sz w:val="28"/>
          <w:szCs w:val="24"/>
        </w:rPr>
        <w:t>当伦潭水库水源地处于事故状态下，监测因子为泄漏物料和可能伴生次生的有毒有害物品，因此应根据事故类型、物料泄露量及物料特性等具体确定。</w:t>
      </w:r>
    </w:p>
    <w:p>
      <w:pPr>
        <w:pStyle w:val="9"/>
        <w:spacing w:beforeLines="0" w:afterLines="0"/>
        <w:rPr>
          <w:rFonts w:hint="eastAsia" w:eastAsia="Times New Roman"/>
          <w:sz w:val="28"/>
          <w:szCs w:val="24"/>
        </w:rPr>
      </w:pPr>
      <w:r>
        <w:rPr>
          <w:rFonts w:hint="eastAsia"/>
          <w:sz w:val="21"/>
          <w:szCs w:val="24"/>
        </w:rPr>
        <w:t xml:space="preserve">表 </w:t>
      </w:r>
      <w:r>
        <w:rPr>
          <w:rFonts w:hint="eastAsia"/>
          <w:sz w:val="21"/>
          <w:szCs w:val="24"/>
        </w:rPr>
        <w:fldChar w:fldCharType="begin"/>
      </w:r>
      <w:r>
        <w:rPr>
          <w:rFonts w:hint="eastAsia"/>
          <w:sz w:val="21"/>
          <w:szCs w:val="24"/>
        </w:rPr>
        <w:instrText xml:space="preserve"> STYLEREF 1 \s </w:instrText>
      </w:r>
      <w:r>
        <w:rPr>
          <w:rFonts w:hint="eastAsia"/>
          <w:sz w:val="21"/>
          <w:szCs w:val="24"/>
        </w:rPr>
        <w:fldChar w:fldCharType="separate"/>
      </w:r>
      <w:r>
        <w:rPr>
          <w:rFonts w:hint="eastAsia"/>
          <w:sz w:val="21"/>
          <w:szCs w:val="24"/>
        </w:rPr>
        <w:t>3</w:t>
      </w:r>
      <w:r>
        <w:rPr>
          <w:rFonts w:hint="eastAsia"/>
          <w:sz w:val="21"/>
          <w:szCs w:val="24"/>
        </w:rPr>
        <w:fldChar w:fldCharType="end"/>
      </w:r>
      <w:r>
        <w:rPr>
          <w:rFonts w:hint="eastAsia"/>
          <w:sz w:val="21"/>
          <w:szCs w:val="24"/>
        </w:rPr>
        <w:t>.</w:t>
      </w:r>
      <w:r>
        <w:rPr>
          <w:rFonts w:hint="eastAsia"/>
          <w:sz w:val="21"/>
          <w:szCs w:val="24"/>
        </w:rPr>
        <w:fldChar w:fldCharType="begin"/>
      </w:r>
      <w:r>
        <w:rPr>
          <w:rFonts w:hint="eastAsia"/>
          <w:sz w:val="21"/>
          <w:szCs w:val="24"/>
        </w:rPr>
        <w:instrText xml:space="preserve"> SEQ 表 \* ARABIC \s 1 </w:instrText>
      </w:r>
      <w:r>
        <w:rPr>
          <w:rFonts w:hint="eastAsia"/>
          <w:sz w:val="21"/>
          <w:szCs w:val="24"/>
        </w:rPr>
        <w:fldChar w:fldCharType="separate"/>
      </w:r>
      <w:r>
        <w:rPr>
          <w:rFonts w:hint="eastAsia"/>
          <w:sz w:val="21"/>
          <w:szCs w:val="24"/>
        </w:rPr>
        <w:t>3</w:t>
      </w:r>
      <w:r>
        <w:rPr>
          <w:rFonts w:hint="eastAsia"/>
          <w:sz w:val="21"/>
          <w:szCs w:val="24"/>
        </w:rPr>
        <w:fldChar w:fldCharType="end"/>
      </w:r>
      <w:r>
        <w:rPr>
          <w:rFonts w:hint="eastAsia"/>
          <w:sz w:val="21"/>
          <w:szCs w:val="24"/>
        </w:rPr>
        <w:t xml:space="preserve">  应急监测方案一览表</w:t>
      </w: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80"/>
        <w:gridCol w:w="2914"/>
        <w:gridCol w:w="1864"/>
        <w:gridCol w:w="1458"/>
        <w:gridCol w:w="11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jc w:val="center"/>
        </w:trPr>
        <w:tc>
          <w:tcPr>
            <w:tcW w:w="1080"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sz w:val="21"/>
                <w:szCs w:val="24"/>
              </w:rPr>
            </w:pPr>
            <w:r>
              <w:rPr>
                <w:rFonts w:hint="eastAsia"/>
                <w:sz w:val="21"/>
                <w:szCs w:val="24"/>
              </w:rPr>
              <w:t>事件处置期</w:t>
            </w:r>
          </w:p>
        </w:tc>
        <w:tc>
          <w:tcPr>
            <w:tcW w:w="291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监控点位</w:t>
            </w:r>
          </w:p>
        </w:tc>
        <w:tc>
          <w:tcPr>
            <w:tcW w:w="186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监测因子</w:t>
            </w:r>
          </w:p>
        </w:tc>
        <w:tc>
          <w:tcPr>
            <w:tcW w:w="1458"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监测频次</w:t>
            </w:r>
          </w:p>
        </w:tc>
        <w:tc>
          <w:tcPr>
            <w:tcW w:w="1188"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事件类型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85" w:hRule="atLeast"/>
          <w:jc w:val="center"/>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初期</w:t>
            </w:r>
          </w:p>
        </w:tc>
        <w:tc>
          <w:tcPr>
            <w:tcW w:w="291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事故地上游100m设置1个对照断面、下游100m扇形区域设置2个控制断面、下游200m设置1个削减断面</w:t>
            </w:r>
          </w:p>
        </w:tc>
        <w:tc>
          <w:tcPr>
            <w:tcW w:w="186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eastAsia="Times New Roman"/>
                <w:sz w:val="21"/>
                <w:szCs w:val="24"/>
              </w:rPr>
              <w:t>pH</w:t>
            </w:r>
            <w:r>
              <w:rPr>
                <w:rFonts w:hint="eastAsia"/>
                <w:sz w:val="21"/>
                <w:szCs w:val="24"/>
              </w:rPr>
              <w:t>、COD、石油类、其它因子根据泄漏物质确定</w:t>
            </w:r>
          </w:p>
        </w:tc>
        <w:tc>
          <w:tcPr>
            <w:tcW w:w="1458"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eastAsia="Times New Roman"/>
                <w:sz w:val="21"/>
                <w:szCs w:val="24"/>
              </w:rPr>
              <w:t>1~2</w:t>
            </w:r>
            <w:r>
              <w:rPr>
                <w:rFonts w:hint="eastAsia"/>
                <w:sz w:val="21"/>
                <w:szCs w:val="24"/>
              </w:rPr>
              <w:t>小时1次</w:t>
            </w:r>
          </w:p>
        </w:tc>
        <w:tc>
          <w:tcPr>
            <w:tcW w:w="1188"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流动源事件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85" w:hRule="atLeast"/>
          <w:jc w:val="center"/>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p>
        </w:tc>
        <w:tc>
          <w:tcPr>
            <w:tcW w:w="291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事故地上游100m设置1个对照断面、下游100m扇形区域设置2个控制断面、下游200m设置1个削减断面</w:t>
            </w:r>
          </w:p>
        </w:tc>
        <w:tc>
          <w:tcPr>
            <w:tcW w:w="186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eastAsia="Times New Roman"/>
                <w:sz w:val="21"/>
                <w:szCs w:val="24"/>
              </w:rPr>
              <w:t>pH</w:t>
            </w:r>
            <w:r>
              <w:rPr>
                <w:rFonts w:hint="eastAsia"/>
                <w:sz w:val="21"/>
                <w:szCs w:val="24"/>
              </w:rPr>
              <w:t>、</w:t>
            </w:r>
            <w:r>
              <w:rPr>
                <w:rFonts w:hint="eastAsia" w:eastAsia="Times New Roman"/>
                <w:sz w:val="21"/>
                <w:szCs w:val="24"/>
              </w:rPr>
              <w:t>COD</w:t>
            </w:r>
            <w:r>
              <w:rPr>
                <w:rFonts w:hint="eastAsia"/>
                <w:sz w:val="21"/>
                <w:szCs w:val="24"/>
              </w:rPr>
              <w:t>、氨氮、SS、其它因子根据固定源排污因子确定</w:t>
            </w:r>
          </w:p>
        </w:tc>
        <w:tc>
          <w:tcPr>
            <w:tcW w:w="1458"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p>
        </w:tc>
        <w:tc>
          <w:tcPr>
            <w:tcW w:w="1188"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固定源事件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85" w:hRule="atLeast"/>
          <w:jc w:val="center"/>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中期</w:t>
            </w:r>
          </w:p>
        </w:tc>
        <w:tc>
          <w:tcPr>
            <w:tcW w:w="291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事故地上游100m设置1个对照断面、下游100m扇形区域设置2个控制断面、下游200m设置1个削减断面</w:t>
            </w:r>
          </w:p>
        </w:tc>
        <w:tc>
          <w:tcPr>
            <w:tcW w:w="186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eastAsia="Times New Roman"/>
                <w:sz w:val="21"/>
                <w:szCs w:val="24"/>
              </w:rPr>
              <w:t>pH</w:t>
            </w:r>
            <w:r>
              <w:rPr>
                <w:rFonts w:hint="eastAsia"/>
                <w:sz w:val="21"/>
                <w:szCs w:val="24"/>
              </w:rPr>
              <w:t>、COD、石油类、其它因子根据泄漏物质确定</w:t>
            </w:r>
          </w:p>
        </w:tc>
        <w:tc>
          <w:tcPr>
            <w:tcW w:w="1458"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eastAsia="Times New Roman"/>
                <w:sz w:val="21"/>
                <w:szCs w:val="24"/>
              </w:rPr>
              <w:t>2~4</w:t>
            </w:r>
            <w:r>
              <w:rPr>
                <w:rFonts w:hint="eastAsia"/>
                <w:sz w:val="21"/>
                <w:szCs w:val="24"/>
              </w:rPr>
              <w:t>小时1次</w:t>
            </w:r>
          </w:p>
        </w:tc>
        <w:tc>
          <w:tcPr>
            <w:tcW w:w="1188"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流动源事件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85" w:hRule="atLeast"/>
          <w:jc w:val="center"/>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p>
        </w:tc>
        <w:tc>
          <w:tcPr>
            <w:tcW w:w="291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事故地上游100m设置1个对照断面、下游100m扇形区域设置2个控制断面、下游200m设置1个削减断面</w:t>
            </w:r>
          </w:p>
        </w:tc>
        <w:tc>
          <w:tcPr>
            <w:tcW w:w="186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eastAsia="Times New Roman"/>
                <w:sz w:val="21"/>
                <w:szCs w:val="24"/>
              </w:rPr>
              <w:t>pH</w:t>
            </w:r>
            <w:r>
              <w:rPr>
                <w:rFonts w:hint="eastAsia"/>
                <w:sz w:val="21"/>
                <w:szCs w:val="24"/>
              </w:rPr>
              <w:t>、COD、氨氮、SS、其它因子根据固定源排污因子确定</w:t>
            </w:r>
          </w:p>
        </w:tc>
        <w:tc>
          <w:tcPr>
            <w:tcW w:w="1458"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p>
        </w:tc>
        <w:tc>
          <w:tcPr>
            <w:tcW w:w="1188"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固定源事件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85" w:hRule="atLeast"/>
          <w:jc w:val="center"/>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末期</w:t>
            </w:r>
          </w:p>
        </w:tc>
        <w:tc>
          <w:tcPr>
            <w:tcW w:w="291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事故地上游100m设置1个对照断面、下游100m扇形区域设置2个控制断面、下游200m设置1个削减断面</w:t>
            </w:r>
          </w:p>
        </w:tc>
        <w:tc>
          <w:tcPr>
            <w:tcW w:w="186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eastAsia="Times New Roman"/>
                <w:sz w:val="21"/>
                <w:szCs w:val="24"/>
              </w:rPr>
              <w:t>pH</w:t>
            </w:r>
            <w:r>
              <w:rPr>
                <w:rFonts w:hint="eastAsia"/>
                <w:sz w:val="21"/>
                <w:szCs w:val="24"/>
              </w:rPr>
              <w:t>、COD、石油类、其它因子根据泄漏物质确定</w:t>
            </w:r>
          </w:p>
        </w:tc>
        <w:tc>
          <w:tcPr>
            <w:tcW w:w="1458"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eastAsia="Times New Roman"/>
                <w:sz w:val="21"/>
                <w:szCs w:val="24"/>
              </w:rPr>
              <w:t>12~24</w:t>
            </w:r>
            <w:r>
              <w:rPr>
                <w:rFonts w:hint="eastAsia"/>
                <w:sz w:val="21"/>
                <w:szCs w:val="24"/>
              </w:rPr>
              <w:t>小时1次</w:t>
            </w:r>
          </w:p>
        </w:tc>
        <w:tc>
          <w:tcPr>
            <w:tcW w:w="1188"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流动源事件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jc w:val="center"/>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p>
        </w:tc>
        <w:tc>
          <w:tcPr>
            <w:tcW w:w="291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事故地上游100m 设置1个对照断面、下游 100m 扇形区域设置2 个控制断面、下游 200m 设置1 个削减断面</w:t>
            </w:r>
          </w:p>
        </w:tc>
        <w:tc>
          <w:tcPr>
            <w:tcW w:w="1864"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eastAsia="Times New Roman"/>
                <w:sz w:val="21"/>
                <w:szCs w:val="24"/>
              </w:rPr>
              <w:t>pH</w:t>
            </w:r>
            <w:r>
              <w:rPr>
                <w:rFonts w:hint="eastAsia"/>
                <w:sz w:val="21"/>
                <w:szCs w:val="24"/>
              </w:rPr>
              <w:t>、COD、氨氮、SS、其它因子根据固定源排污因子确定</w:t>
            </w:r>
          </w:p>
        </w:tc>
        <w:tc>
          <w:tcPr>
            <w:tcW w:w="1458"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p>
        </w:tc>
        <w:tc>
          <w:tcPr>
            <w:tcW w:w="1188" w:type="dxa"/>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70"/>
              <w:spacing w:beforeLines="0" w:afterLines="0"/>
              <w:rPr>
                <w:rFonts w:hint="eastAsia" w:eastAsia="Times New Roman"/>
                <w:sz w:val="21"/>
                <w:szCs w:val="24"/>
              </w:rPr>
            </w:pPr>
            <w:r>
              <w:rPr>
                <w:rFonts w:hint="eastAsia"/>
                <w:sz w:val="21"/>
                <w:szCs w:val="24"/>
              </w:rPr>
              <w:t>固定源事件</w:t>
            </w:r>
          </w:p>
        </w:tc>
      </w:tr>
    </w:tbl>
    <w:p>
      <w:pPr>
        <w:spacing w:beforeLines="0" w:afterLines="0"/>
        <w:rPr>
          <w:rFonts w:hint="eastAsia"/>
          <w:sz w:val="28"/>
          <w:szCs w:val="24"/>
        </w:rPr>
      </w:pPr>
      <w:r>
        <w:rPr>
          <w:rFonts w:hint="eastAsia"/>
          <w:sz w:val="28"/>
          <w:szCs w:val="24"/>
        </w:rPr>
        <w:t>（3）监测项目。通过现场信息收集、信息研判、代表性样品分析等途径，确定主要污染物及监测项目。监测项目应考虑主要污染物在环境中可能产生的化学反应、衍生成其他有毒有害物质，有需要时可同时开展水生生物指标的监测，为后期损害评估提供第一手资料。</w:t>
      </w:r>
    </w:p>
    <w:p>
      <w:pPr>
        <w:spacing w:beforeLines="0" w:afterLines="0"/>
        <w:rPr>
          <w:rFonts w:hint="eastAsia"/>
          <w:sz w:val="28"/>
          <w:szCs w:val="24"/>
        </w:rPr>
      </w:pPr>
      <w:r>
        <w:rPr>
          <w:rFonts w:hint="eastAsia"/>
          <w:sz w:val="28"/>
          <w:szCs w:val="24"/>
        </w:rPr>
        <w:t>（4）现场采样。制定采样计划和准备采样器材。采样量应同时满足快速监测、实验室监测和留样的需要。采样频次应考虑污染程度和现场水文条件，按照应急专家组的意见确定。</w:t>
      </w:r>
    </w:p>
    <w:p>
      <w:pPr>
        <w:spacing w:beforeLines="0" w:afterLines="0"/>
        <w:rPr>
          <w:rFonts w:hint="eastAsia"/>
          <w:sz w:val="28"/>
          <w:szCs w:val="24"/>
        </w:rPr>
      </w:pPr>
      <w:r>
        <w:rPr>
          <w:rFonts w:hint="eastAsia"/>
          <w:sz w:val="28"/>
          <w:szCs w:val="24"/>
        </w:rPr>
        <w:t>（5）分析方法。具备现场监测条件的监测项目，应尽量在现场监测。必要时，备份样品送实验室监（复）测，以确认现场定性或定量监测结果的准确性，分析方法应满足《地表水环境质量标准》（GB3838-2002）要求。</w:t>
      </w:r>
    </w:p>
    <w:p>
      <w:pPr>
        <w:spacing w:beforeLines="0" w:afterLines="0"/>
        <w:rPr>
          <w:rFonts w:hint="eastAsia"/>
          <w:sz w:val="28"/>
          <w:szCs w:val="24"/>
        </w:rPr>
      </w:pPr>
      <w:r>
        <w:rPr>
          <w:rFonts w:hint="eastAsia"/>
          <w:sz w:val="28"/>
          <w:szCs w:val="24"/>
        </w:rPr>
        <w:t>（6）监测结果与数据报告。应按照有关监测技术规范进行数据处理。监测结果可用定性、半定量或定量方式报出。监测结果可采用电话、传真、快报、简报、监测报告等形式第一时间报告现场应急指挥部。</w:t>
      </w:r>
    </w:p>
    <w:p>
      <w:pPr>
        <w:spacing w:beforeLines="0" w:afterLines="0"/>
        <w:rPr>
          <w:rFonts w:hint="eastAsia"/>
          <w:sz w:val="28"/>
          <w:szCs w:val="24"/>
        </w:rPr>
      </w:pPr>
      <w:r>
        <w:rPr>
          <w:rFonts w:hint="eastAsia"/>
          <w:sz w:val="28"/>
          <w:szCs w:val="24"/>
        </w:rPr>
        <w:t>（7）监测数据的质量保证。应急监测过程中的样品采集、现场监测、实验室监测、数据统计等环节，都应有质量控制措施，并对应急监测报告实行三级审核。</w:t>
      </w:r>
    </w:p>
    <w:p>
      <w:pPr>
        <w:pStyle w:val="5"/>
        <w:spacing w:beforeLines="0" w:afterLines="0"/>
        <w:rPr>
          <w:rFonts w:hint="eastAsia"/>
          <w:sz w:val="36"/>
          <w:szCs w:val="24"/>
        </w:rPr>
      </w:pPr>
      <w:bookmarkStart w:id="49" w:name="_Toc25363"/>
      <w:r>
        <w:rPr>
          <w:rFonts w:hint="eastAsia"/>
          <w:sz w:val="36"/>
          <w:szCs w:val="24"/>
        </w:rPr>
        <w:t>污染源排查与处置</w:t>
      </w:r>
      <w:bookmarkEnd w:id="49"/>
    </w:p>
    <w:p>
      <w:pPr>
        <w:pStyle w:val="6"/>
        <w:spacing w:beforeLines="0" w:afterLines="0"/>
        <w:rPr>
          <w:rFonts w:hint="eastAsia"/>
          <w:sz w:val="32"/>
          <w:szCs w:val="24"/>
        </w:rPr>
      </w:pPr>
      <w:bookmarkStart w:id="50" w:name="_Toc12033"/>
      <w:r>
        <w:rPr>
          <w:rFonts w:hint="eastAsia"/>
          <w:sz w:val="32"/>
          <w:szCs w:val="24"/>
        </w:rPr>
        <w:t>明确排查对象</w:t>
      </w:r>
      <w:bookmarkEnd w:id="50"/>
    </w:p>
    <w:p>
      <w:pPr>
        <w:spacing w:beforeLines="0" w:afterLines="0"/>
        <w:rPr>
          <w:rFonts w:hint="eastAsia"/>
          <w:sz w:val="28"/>
          <w:szCs w:val="24"/>
        </w:rPr>
      </w:pPr>
      <w:r>
        <w:rPr>
          <w:rFonts w:hint="eastAsia"/>
          <w:sz w:val="28"/>
          <w:szCs w:val="24"/>
        </w:rPr>
        <w:t>当伦潭水库水源地水质监测发现异常、污染物来源不确定时，上饶市铅山生态环境局应根据污染物种类、浓度变化、释放总量、释放路径、释放时间，以及当时的水文和气象条件，负责开展溯源分析，迅速组织开展污染源排查。</w:t>
      </w:r>
    </w:p>
    <w:p>
      <w:pPr>
        <w:spacing w:beforeLines="0" w:afterLines="0"/>
        <w:rPr>
          <w:rFonts w:hint="eastAsia"/>
          <w:sz w:val="28"/>
          <w:szCs w:val="24"/>
        </w:rPr>
      </w:pPr>
      <w:r>
        <w:rPr>
          <w:rFonts w:hint="eastAsia"/>
          <w:sz w:val="28"/>
          <w:szCs w:val="24"/>
        </w:rPr>
        <w:t>针对不同类型污染物的排查重点和对象如下。</w:t>
      </w:r>
    </w:p>
    <w:p>
      <w:pPr>
        <w:spacing w:beforeLines="0" w:afterLines="0"/>
        <w:rPr>
          <w:rFonts w:hint="eastAsia"/>
          <w:sz w:val="28"/>
          <w:szCs w:val="24"/>
        </w:rPr>
      </w:pPr>
      <w:r>
        <w:rPr>
          <w:rFonts w:hint="eastAsia"/>
          <w:sz w:val="28"/>
          <w:szCs w:val="24"/>
        </w:rPr>
        <w:t>（1）有机类污染：重点排查伦潭水库上游各行政村生活污水处理站，调查污水处理设施运行、尾水排放的异常情况。</w:t>
      </w:r>
    </w:p>
    <w:p>
      <w:pPr>
        <w:spacing w:beforeLines="0" w:afterLines="0"/>
        <w:rPr>
          <w:rFonts w:hint="eastAsia"/>
          <w:sz w:val="28"/>
          <w:szCs w:val="24"/>
        </w:rPr>
      </w:pPr>
      <w:r>
        <w:rPr>
          <w:rFonts w:hint="eastAsia"/>
          <w:sz w:val="28"/>
          <w:szCs w:val="24"/>
        </w:rPr>
        <w:t>（2）营养盐类污染：重点排查伦潭水库上游各行政村生活污水处理站、畜禽养殖户、农田种植户、农村居民点、医疗场所等，调查污水处理设施运行、养殖废物处理处置、农药化肥施用、农村生活污染、医疗废水处理及消毒设施的异常情况。</w:t>
      </w:r>
    </w:p>
    <w:p>
      <w:pPr>
        <w:spacing w:beforeLines="0" w:afterLines="0"/>
        <w:rPr>
          <w:rFonts w:hint="eastAsia"/>
          <w:sz w:val="28"/>
          <w:szCs w:val="24"/>
        </w:rPr>
      </w:pPr>
      <w:r>
        <w:rPr>
          <w:rFonts w:hint="eastAsia"/>
          <w:sz w:val="28"/>
          <w:szCs w:val="24"/>
        </w:rPr>
        <w:t>（3）细菌类污染：重点排查伦潭水库上游各行政村生活污水处理站、畜禽养殖户、农村居民点，调查污水处理设施运行、养殖废物处理处置、医疗场所、农村生活污染的异常情况。</w:t>
      </w:r>
    </w:p>
    <w:p>
      <w:pPr>
        <w:spacing w:beforeLines="0" w:afterLines="0"/>
        <w:rPr>
          <w:rFonts w:hint="eastAsia"/>
          <w:sz w:val="28"/>
          <w:szCs w:val="24"/>
        </w:rPr>
      </w:pPr>
      <w:r>
        <w:rPr>
          <w:rFonts w:hint="eastAsia"/>
          <w:sz w:val="28"/>
          <w:szCs w:val="24"/>
        </w:rPr>
        <w:t>（4）农药类污染：重点排查茶果园种植园（户）、毛竹种植户、农田种植户、农灌退水排放口，调查农药施用和流失的异常情况。</w:t>
      </w:r>
    </w:p>
    <w:p>
      <w:pPr>
        <w:spacing w:beforeLines="0" w:afterLines="0"/>
        <w:rPr>
          <w:rFonts w:hint="eastAsia"/>
          <w:sz w:val="28"/>
          <w:szCs w:val="24"/>
        </w:rPr>
      </w:pPr>
      <w:r>
        <w:rPr>
          <w:rFonts w:hint="eastAsia"/>
          <w:sz w:val="28"/>
          <w:szCs w:val="24"/>
        </w:rPr>
        <w:t>（5）石油类污染：重点排查运输车辆，调查运输车辆的异常情况。</w:t>
      </w:r>
    </w:p>
    <w:p>
      <w:pPr>
        <w:spacing w:beforeLines="0" w:afterLines="0"/>
        <w:rPr>
          <w:rFonts w:hint="eastAsia"/>
          <w:sz w:val="28"/>
          <w:szCs w:val="24"/>
        </w:rPr>
      </w:pPr>
      <w:r>
        <w:rPr>
          <w:rFonts w:hint="eastAsia"/>
          <w:sz w:val="28"/>
          <w:szCs w:val="24"/>
        </w:rPr>
        <w:t>（6）重金属及其他有毒有害物质污染：重点排查省道S425（永篁线）是否存在危化品运输车辆。</w:t>
      </w:r>
    </w:p>
    <w:p>
      <w:pPr>
        <w:pStyle w:val="6"/>
        <w:spacing w:beforeLines="0" w:afterLines="0"/>
        <w:rPr>
          <w:rFonts w:hint="eastAsia"/>
          <w:sz w:val="32"/>
          <w:szCs w:val="24"/>
        </w:rPr>
      </w:pPr>
      <w:bookmarkStart w:id="51" w:name="_Toc5511"/>
      <w:r>
        <w:rPr>
          <w:rFonts w:hint="eastAsia"/>
          <w:sz w:val="32"/>
          <w:szCs w:val="24"/>
        </w:rPr>
        <w:t>切断污染源</w:t>
      </w:r>
      <w:bookmarkEnd w:id="51"/>
    </w:p>
    <w:p>
      <w:pPr>
        <w:spacing w:beforeLines="0" w:afterLines="0"/>
        <w:rPr>
          <w:rFonts w:hint="eastAsia"/>
          <w:sz w:val="28"/>
          <w:szCs w:val="24"/>
        </w:rPr>
      </w:pPr>
      <w:r>
        <w:rPr>
          <w:rFonts w:hint="eastAsia"/>
          <w:sz w:val="28"/>
          <w:szCs w:val="24"/>
        </w:rPr>
        <w:t>当确定了污染源种类后，应急处置组应采取切断污染源、收集和围堵污染物等处置措施，切断污染源措施包括以下内容：</w:t>
      </w:r>
    </w:p>
    <w:p>
      <w:pPr>
        <w:spacing w:beforeLines="0" w:afterLines="0"/>
        <w:rPr>
          <w:rFonts w:hint="eastAsia"/>
          <w:sz w:val="28"/>
          <w:szCs w:val="24"/>
        </w:rPr>
      </w:pPr>
      <w:r>
        <w:rPr>
          <w:rFonts w:hint="eastAsia"/>
          <w:sz w:val="28"/>
          <w:szCs w:val="24"/>
        </w:rPr>
        <w:t>（1）上饶市铅山生态环境局牵头，组织铅山县水利局、应急管理局等部门对发生非正常排放或有毒有害物质泄漏的固定源突发环境事件，应尽快采取关闭、封堵、收集、转移等措施，切断污染源或泄漏源。</w:t>
      </w:r>
    </w:p>
    <w:p>
      <w:pPr>
        <w:spacing w:beforeLines="0" w:afterLines="0"/>
        <w:rPr>
          <w:rFonts w:hint="eastAsia"/>
          <w:sz w:val="28"/>
          <w:szCs w:val="24"/>
        </w:rPr>
      </w:pPr>
      <w:r>
        <w:rPr>
          <w:rFonts w:hint="eastAsia"/>
          <w:sz w:val="28"/>
          <w:szCs w:val="24"/>
        </w:rPr>
        <w:t>（2）铅山县交通运输局牵头，组织上饶市铅山生态环境局、铅山县应急管理局应急管理局等部门对道路交通运输过程中发生的流动源突发事件，可启动路面系统已建的导流槽、应急池或临时紧急设置围堰、闸坝等，对污染源进行围堵并收集污染物。启动应急收集系统集中收集陆域污染物，设立拦截设施，防止污染物在陆域蔓延，组织有关部门对污染物进行回收处置。</w:t>
      </w:r>
    </w:p>
    <w:p>
      <w:pPr>
        <w:spacing w:beforeLines="0" w:afterLines="0"/>
        <w:rPr>
          <w:rFonts w:hint="eastAsia"/>
          <w:sz w:val="28"/>
          <w:szCs w:val="24"/>
        </w:rPr>
      </w:pPr>
      <w:r>
        <w:rPr>
          <w:rFonts w:hint="eastAsia"/>
          <w:sz w:val="28"/>
          <w:szCs w:val="24"/>
        </w:rPr>
        <w:t>（3）应急处置组根据现场事态发展对扩散至水体的污染物进行处置。</w:t>
      </w:r>
    </w:p>
    <w:p>
      <w:pPr>
        <w:pStyle w:val="5"/>
        <w:spacing w:beforeLines="0" w:afterLines="0"/>
        <w:rPr>
          <w:rFonts w:hint="eastAsia"/>
          <w:sz w:val="36"/>
          <w:szCs w:val="24"/>
        </w:rPr>
      </w:pPr>
      <w:bookmarkStart w:id="52" w:name="_Toc31861"/>
      <w:r>
        <w:rPr>
          <w:rFonts w:hint="eastAsia"/>
          <w:sz w:val="36"/>
          <w:szCs w:val="24"/>
        </w:rPr>
        <w:t>应急处置</w:t>
      </w:r>
      <w:bookmarkEnd w:id="52"/>
    </w:p>
    <w:p>
      <w:pPr>
        <w:spacing w:beforeLines="0" w:afterLines="0"/>
        <w:rPr>
          <w:rFonts w:hint="eastAsia"/>
          <w:sz w:val="28"/>
          <w:szCs w:val="24"/>
        </w:rPr>
      </w:pPr>
      <w:r>
        <w:rPr>
          <w:rFonts w:hint="eastAsia"/>
          <w:sz w:val="28"/>
          <w:szCs w:val="24"/>
        </w:rPr>
        <w:t>现场应急指挥部根据伦潭水库饮用水水源地突发环境事件的情况通知应急工作组各成员单位的救援队伍。各工作组接到事件信息通报后，应立即派出有关人员和队伍赶赴事发现场，在现场应急指挥部统一指挥下，按照各自的预案和处置规程，相互协同，密切配合，共同实施环境应急和紧急处置行动。现场应急指挥部成立前，各应急救援专业队伍必须在当地政府和事发单位的协调指挥下坚决、迅速地实施先期处置，果断控制或切断污染源，全力控制事件态势，严防二次污染和次生、衍生污染事件发生。</w:t>
      </w:r>
    </w:p>
    <w:p>
      <w:pPr>
        <w:spacing w:beforeLines="0" w:afterLines="0"/>
        <w:rPr>
          <w:rFonts w:hint="eastAsia"/>
          <w:sz w:val="28"/>
          <w:szCs w:val="24"/>
        </w:rPr>
      </w:pPr>
      <w:r>
        <w:rPr>
          <w:rFonts w:hint="eastAsia"/>
          <w:sz w:val="28"/>
          <w:szCs w:val="24"/>
        </w:rPr>
        <w:t>应急状态时，专家组有关专家迅速对事件信息进行分析、评估，提出应急处置方案和建议，供指挥部领导决策参考。根据事件进展情况和形势动态，提出相应的对策和意见；对突发环境事件的危害范围、发展趋势作出科学预测，为环境应急领导机构的决策和指挥提供科学依据；参与污染程度、危害范围、事件等级的判定，对污染区域的隔离与解禁、人员撤离与返回等重大防护措施的决策提供技术依据；指导各应急分队进行应急处理与处置；指导环境应急工作的评价，进行事件的中长期环境影响评估。</w:t>
      </w:r>
    </w:p>
    <w:p>
      <w:pPr>
        <w:spacing w:beforeLines="0" w:afterLines="0"/>
        <w:rPr>
          <w:rFonts w:hint="eastAsia"/>
          <w:sz w:val="28"/>
          <w:szCs w:val="24"/>
        </w:rPr>
      </w:pPr>
      <w:r>
        <w:rPr>
          <w:rFonts w:hint="eastAsia"/>
          <w:sz w:val="28"/>
          <w:szCs w:val="24"/>
        </w:rPr>
        <w:t>发生环境事件的有关部门、单位要及时、主动向现场环境应急救援指挥部提供应急救援有关的基础资料，生态环境、水利等有关部门提供事件发生前的有关监管检查资料，供现场环境应急救援指挥部研究救援和处置方案时参考。</w:t>
      </w:r>
    </w:p>
    <w:p>
      <w:pPr>
        <w:pStyle w:val="6"/>
        <w:spacing w:beforeLines="0" w:afterLines="0"/>
        <w:rPr>
          <w:rFonts w:hint="eastAsia"/>
          <w:sz w:val="32"/>
          <w:szCs w:val="24"/>
        </w:rPr>
      </w:pPr>
      <w:bookmarkStart w:id="53" w:name="_Toc19416"/>
      <w:r>
        <w:rPr>
          <w:rFonts w:hint="eastAsia"/>
          <w:sz w:val="32"/>
          <w:szCs w:val="24"/>
        </w:rPr>
        <w:t>制定现场应急处置方案</w:t>
      </w:r>
      <w:bookmarkEnd w:id="53"/>
    </w:p>
    <w:p>
      <w:pPr>
        <w:spacing w:beforeLines="0" w:afterLines="0"/>
        <w:rPr>
          <w:rFonts w:hint="eastAsia"/>
          <w:sz w:val="28"/>
          <w:szCs w:val="24"/>
        </w:rPr>
      </w:pPr>
      <w:r>
        <w:rPr>
          <w:rFonts w:hint="eastAsia"/>
          <w:sz w:val="28"/>
          <w:szCs w:val="24"/>
        </w:rPr>
        <w:t>现场应急指挥部和应急专家组根据不同突发性环境事件的发生发展情况，开展现场调查，得到第一手资料后，由各应急专家与现场应急指挥部共同制定有效的现场处置方案。</w:t>
      </w:r>
    </w:p>
    <w:p>
      <w:pPr>
        <w:spacing w:beforeLines="0" w:afterLines="0"/>
        <w:rPr>
          <w:rFonts w:hint="eastAsia"/>
          <w:sz w:val="28"/>
          <w:szCs w:val="24"/>
        </w:rPr>
      </w:pPr>
      <w:r>
        <w:rPr>
          <w:rFonts w:hint="eastAsia"/>
          <w:sz w:val="28"/>
          <w:szCs w:val="24"/>
        </w:rPr>
        <w:t>现场处置方案包括以下内容：应急监测、污染处置措施、物资调集、应急队伍和人员安排、供水单位应对等，具体要求如下：</w:t>
      </w:r>
    </w:p>
    <w:p>
      <w:pPr>
        <w:spacing w:beforeLines="0" w:afterLines="0"/>
        <w:rPr>
          <w:rFonts w:hint="eastAsia"/>
          <w:sz w:val="28"/>
          <w:szCs w:val="24"/>
        </w:rPr>
      </w:pPr>
      <w:r>
        <w:rPr>
          <w:rFonts w:hint="eastAsia"/>
          <w:sz w:val="28"/>
          <w:szCs w:val="24"/>
        </w:rPr>
        <w:t>根据污染特征，伦潭水库饮用水源地突发环境事件的污染处置措施如下：</w:t>
      </w:r>
    </w:p>
    <w:p>
      <w:pPr>
        <w:spacing w:beforeLines="0" w:afterLines="0"/>
        <w:rPr>
          <w:rFonts w:hint="eastAsia"/>
          <w:sz w:val="28"/>
          <w:szCs w:val="24"/>
        </w:rPr>
      </w:pPr>
      <w:r>
        <w:rPr>
          <w:rFonts w:hint="eastAsia"/>
          <w:sz w:val="28"/>
          <w:szCs w:val="24"/>
        </w:rPr>
        <w:t>（1）水华灾害突发事件。对伦潭水库饮用水一级、二级水源保护区的水华发生区域，按照现场应急指挥部指令，由上饶市铅山生态环境局牵头，应急处置组按现场应急指挥部要求，采取增氧机、藻类打捞等方式减少和控制藻类生长和扩散；有条件时，可采用生态调水的方式，通过增加水体扰动控制水华灾害。</w:t>
      </w:r>
    </w:p>
    <w:p>
      <w:pPr>
        <w:spacing w:beforeLines="0" w:afterLines="0"/>
        <w:rPr>
          <w:rFonts w:hint="eastAsia"/>
          <w:sz w:val="28"/>
          <w:szCs w:val="24"/>
        </w:rPr>
      </w:pPr>
      <w:r>
        <w:rPr>
          <w:rFonts w:hint="eastAsia"/>
          <w:sz w:val="28"/>
          <w:szCs w:val="24"/>
        </w:rPr>
        <w:t>（2）水体内污染物治理、总量或浓度削减。根据应急专家组意见，制定现场综合处置方案，经现场应急指挥部确认后实施。由上饶市铅山生态环境局牵头，应急处置组按现场应急指挥部要求，采取隔离、吸附、打捞、扰动等物理方法，氧化、沉淀等化学方法，利用湿地生物群消解等生物方法和上游调水等稀释方法，可以采取一种或多种方式，力争短时间内削减污染物浓度。</w:t>
      </w:r>
    </w:p>
    <w:p>
      <w:pPr>
        <w:spacing w:beforeLines="0" w:afterLines="0"/>
        <w:rPr>
          <w:rFonts w:hint="eastAsia"/>
          <w:sz w:val="28"/>
          <w:szCs w:val="24"/>
        </w:rPr>
      </w:pPr>
      <w:r>
        <w:rPr>
          <w:rFonts w:hint="eastAsia"/>
          <w:sz w:val="28"/>
          <w:szCs w:val="24"/>
        </w:rPr>
        <w:t>（3）应急工程设施拦截污染水体。由应急处置组按现场应急指挥部要求，通过排洪渠将未受污染的水体排至下游或水源保护区外进行收集处置；利用生化污水处理站等工程设施，收集处置伦潭水库上游村庄生活污水，减少排入水库污染物浓度。</w:t>
      </w:r>
    </w:p>
    <w:p>
      <w:pPr>
        <w:spacing w:beforeLines="0" w:afterLines="0"/>
        <w:rPr>
          <w:rFonts w:hint="eastAsia"/>
          <w:sz w:val="28"/>
          <w:szCs w:val="24"/>
        </w:rPr>
      </w:pPr>
      <w:r>
        <w:rPr>
          <w:rFonts w:hint="eastAsia"/>
          <w:sz w:val="28"/>
          <w:szCs w:val="24"/>
        </w:rPr>
        <w:t>针对污染物可采取的物理、化学、生物处理技术如表3.3所示。</w:t>
      </w:r>
    </w:p>
    <w:p>
      <w:pPr>
        <w:spacing w:beforeLines="0" w:afterLines="0"/>
        <w:rPr>
          <w:rFonts w:hint="eastAsia"/>
          <w:sz w:val="28"/>
          <w:szCs w:val="24"/>
        </w:rPr>
      </w:pPr>
      <w:r>
        <w:rPr>
          <w:rFonts w:hint="eastAsia"/>
          <w:sz w:val="28"/>
          <w:szCs w:val="24"/>
        </w:rPr>
        <w:t>另外，根据伦潭水库饮用水源地实际现场调查和监测结果等情况，伦潭水库饮用水源地突发环境事件应急处置流程图和处理措施详见附件8和附件9。同时制定水质应急监测方案，及时掌握取水口水质污染趋势和动态变化。</w:t>
      </w:r>
    </w:p>
    <w:p>
      <w:pPr>
        <w:pStyle w:val="9"/>
        <w:spacing w:beforeLines="0" w:afterLines="0"/>
        <w:rPr>
          <w:rFonts w:hint="eastAsia"/>
          <w:sz w:val="21"/>
          <w:szCs w:val="24"/>
        </w:rPr>
      </w:pPr>
      <w:r>
        <w:rPr>
          <w:rFonts w:hint="eastAsia"/>
          <w:sz w:val="21"/>
          <w:szCs w:val="24"/>
        </w:rPr>
        <w:t xml:space="preserve">表 </w:t>
      </w:r>
      <w:r>
        <w:rPr>
          <w:rFonts w:hint="eastAsia"/>
          <w:sz w:val="21"/>
          <w:szCs w:val="24"/>
        </w:rPr>
        <w:fldChar w:fldCharType="begin"/>
      </w:r>
      <w:r>
        <w:rPr>
          <w:rFonts w:hint="eastAsia"/>
          <w:sz w:val="21"/>
          <w:szCs w:val="24"/>
        </w:rPr>
        <w:instrText xml:space="preserve"> STYLEREF 1 \s </w:instrText>
      </w:r>
      <w:r>
        <w:rPr>
          <w:rFonts w:hint="eastAsia"/>
          <w:sz w:val="21"/>
          <w:szCs w:val="24"/>
        </w:rPr>
        <w:fldChar w:fldCharType="separate"/>
      </w:r>
      <w:r>
        <w:rPr>
          <w:rFonts w:hint="eastAsia"/>
          <w:sz w:val="21"/>
          <w:szCs w:val="24"/>
        </w:rPr>
        <w:t>3</w:t>
      </w:r>
      <w:r>
        <w:rPr>
          <w:rFonts w:hint="eastAsia"/>
          <w:sz w:val="21"/>
          <w:szCs w:val="24"/>
        </w:rPr>
        <w:fldChar w:fldCharType="end"/>
      </w:r>
      <w:r>
        <w:rPr>
          <w:rFonts w:hint="eastAsia"/>
          <w:sz w:val="21"/>
          <w:szCs w:val="24"/>
        </w:rPr>
        <w:t>.</w:t>
      </w:r>
      <w:r>
        <w:rPr>
          <w:rFonts w:hint="eastAsia"/>
          <w:sz w:val="21"/>
          <w:szCs w:val="24"/>
        </w:rPr>
        <w:fldChar w:fldCharType="begin"/>
      </w:r>
      <w:r>
        <w:rPr>
          <w:rFonts w:hint="eastAsia"/>
          <w:sz w:val="21"/>
          <w:szCs w:val="24"/>
        </w:rPr>
        <w:instrText xml:space="preserve"> SEQ 表 \* ARABIC \s 1 </w:instrText>
      </w:r>
      <w:r>
        <w:rPr>
          <w:rFonts w:hint="eastAsia"/>
          <w:sz w:val="21"/>
          <w:szCs w:val="24"/>
        </w:rPr>
        <w:fldChar w:fldCharType="separate"/>
      </w:r>
      <w:r>
        <w:rPr>
          <w:rFonts w:hint="eastAsia"/>
          <w:sz w:val="21"/>
          <w:szCs w:val="24"/>
        </w:rPr>
        <w:t>4</w:t>
      </w:r>
      <w:r>
        <w:rPr>
          <w:rFonts w:hint="eastAsia"/>
          <w:sz w:val="21"/>
          <w:szCs w:val="24"/>
        </w:rPr>
        <w:fldChar w:fldCharType="end"/>
      </w:r>
      <w:r>
        <w:rPr>
          <w:rFonts w:hint="eastAsia"/>
          <w:sz w:val="21"/>
          <w:szCs w:val="24"/>
        </w:rPr>
        <w:t xml:space="preserve">  适用于处理不同超标项目的推荐技术</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6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b/>
                <w:sz w:val="21"/>
                <w:szCs w:val="24"/>
              </w:rPr>
            </w:pPr>
            <w:r>
              <w:rPr>
                <w:rFonts w:hint="eastAsia"/>
                <w:b/>
                <w:sz w:val="21"/>
                <w:szCs w:val="24"/>
              </w:rPr>
              <w:t>超标项目</w:t>
            </w:r>
          </w:p>
        </w:tc>
        <w:tc>
          <w:tcPr>
            <w:tcW w:w="65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b/>
                <w:sz w:val="21"/>
                <w:szCs w:val="24"/>
              </w:rPr>
            </w:pPr>
            <w:r>
              <w:rPr>
                <w:rFonts w:hint="eastAsia"/>
                <w:b/>
                <w:sz w:val="21"/>
                <w:szCs w:val="24"/>
              </w:rPr>
              <w:t>推荐技术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浊度</w:t>
            </w:r>
          </w:p>
        </w:tc>
        <w:tc>
          <w:tcPr>
            <w:tcW w:w="65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快速砂滤池、絮凝、沉淀、过滤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色度</w:t>
            </w:r>
          </w:p>
        </w:tc>
        <w:tc>
          <w:tcPr>
            <w:tcW w:w="65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快速砂滤池、絮凝；活性炭吸附；化学氧化预处理：臭氧、氯、高锰酸钾、二氧化氯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嗅味</w:t>
            </w:r>
          </w:p>
        </w:tc>
        <w:tc>
          <w:tcPr>
            <w:tcW w:w="65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化学氧化预处理：臭氧、氯、高锰酸钾、二氧化氯、活性炭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氟化物</w:t>
            </w:r>
          </w:p>
        </w:tc>
        <w:tc>
          <w:tcPr>
            <w:tcW w:w="65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吸附法：氧化铝、磷酸二钙；混凝沉淀法：硫酸铝、聚合氯化铝；离子交换法；电渗析法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氨氮</w:t>
            </w:r>
          </w:p>
        </w:tc>
        <w:tc>
          <w:tcPr>
            <w:tcW w:w="65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化学氧化预处理：氯、高锰酸钾；深度处理：臭氧-生物活性碳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挥发性有机物</w:t>
            </w:r>
          </w:p>
        </w:tc>
        <w:tc>
          <w:tcPr>
            <w:tcW w:w="65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生物活性炭吸附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三氯甲烷和腐殖酸</w:t>
            </w:r>
          </w:p>
        </w:tc>
        <w:tc>
          <w:tcPr>
            <w:tcW w:w="65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前驱物的去除：强化混凝、粒状活性炭、生物活性炭；氯化副产物的去除：粒状活性炭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有机化合物</w:t>
            </w:r>
          </w:p>
        </w:tc>
        <w:tc>
          <w:tcPr>
            <w:tcW w:w="65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生物活性碳、膜处理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藻类及藻毒素</w:t>
            </w:r>
          </w:p>
        </w:tc>
        <w:tc>
          <w:tcPr>
            <w:tcW w:w="653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70"/>
              <w:spacing w:beforeLines="0" w:afterLines="0"/>
              <w:rPr>
                <w:rFonts w:hint="eastAsia"/>
                <w:sz w:val="21"/>
                <w:szCs w:val="24"/>
              </w:rPr>
            </w:pPr>
            <w:r>
              <w:rPr>
                <w:rFonts w:hint="eastAsia"/>
                <w:sz w:val="21"/>
                <w:szCs w:val="24"/>
              </w:rPr>
              <w:t>化学氧化预处理：除藻剂法、高锰酸钾、氯；微滤法；气浮法；臭氧氧化法</w:t>
            </w:r>
          </w:p>
        </w:tc>
      </w:tr>
    </w:tbl>
    <w:p>
      <w:pPr>
        <w:pStyle w:val="6"/>
        <w:spacing w:beforeLines="0" w:afterLines="0"/>
        <w:rPr>
          <w:rFonts w:hint="eastAsia"/>
          <w:sz w:val="32"/>
          <w:szCs w:val="24"/>
        </w:rPr>
      </w:pPr>
      <w:bookmarkStart w:id="54" w:name="_Toc5657"/>
      <w:r>
        <w:rPr>
          <w:rFonts w:hint="eastAsia"/>
          <w:sz w:val="32"/>
          <w:szCs w:val="24"/>
        </w:rPr>
        <w:t>供水安全保障</w:t>
      </w:r>
      <w:bookmarkEnd w:id="54"/>
    </w:p>
    <w:p>
      <w:pPr>
        <w:spacing w:beforeLines="0" w:afterLines="0"/>
        <w:rPr>
          <w:rFonts w:hint="eastAsia"/>
          <w:sz w:val="28"/>
          <w:szCs w:val="24"/>
        </w:rPr>
      </w:pPr>
      <w:r>
        <w:rPr>
          <w:rFonts w:hint="eastAsia"/>
          <w:sz w:val="28"/>
          <w:szCs w:val="24"/>
        </w:rPr>
        <w:t>（1）当确定伦潭水库饮用水水源受污染时，按照现场应急指挥部指令，由铅山县水利局牵头，应急供水保障组迅速采取措施，及时根据污染物的种类、浓度、可能影响取水口的时间，通知铅山县银龙水务有限公司总经理立即调整水厂水处理工艺，强化水处理工艺的净化效果。如源水污染以现有净化工艺不能控制时，铅山县银龙水务有限公司应及时上报现场指挥站建议停止供水，启动备用水源，并通过各种媒体通告居民在事故未解除前，不得饮用污染的水。另外，应急监测组建立向水厂通报应急监测信息制度，并在启动预警时第一时间通知铅山县银龙水务有限公司。</w:t>
      </w:r>
    </w:p>
    <w:p>
      <w:pPr>
        <w:spacing w:beforeLines="0" w:afterLines="0"/>
        <w:rPr>
          <w:rFonts w:hint="eastAsia"/>
          <w:sz w:val="28"/>
          <w:szCs w:val="24"/>
        </w:rPr>
      </w:pPr>
      <w:r>
        <w:rPr>
          <w:rFonts w:hint="eastAsia"/>
          <w:sz w:val="28"/>
          <w:szCs w:val="24"/>
        </w:rPr>
        <w:t>（2）根据伦潭水库饮用水水源保护区水污染情况，按照现场应急指挥部指令，铅山生态环境监测技术中心增加对水源地各断面的监测样本和监测频次，加大监测力度，及时掌握水质变化趋势，向应急处置组提供有力的决策依据。</w:t>
      </w:r>
    </w:p>
    <w:p>
      <w:pPr>
        <w:spacing w:beforeLines="0" w:afterLines="0"/>
        <w:rPr>
          <w:rFonts w:hint="eastAsia"/>
          <w:sz w:val="28"/>
          <w:szCs w:val="24"/>
        </w:rPr>
      </w:pPr>
      <w:r>
        <w:rPr>
          <w:rFonts w:hint="eastAsia"/>
          <w:sz w:val="28"/>
          <w:szCs w:val="24"/>
        </w:rPr>
        <w:t>（3）在伦潭水库饮用水水源保护区水污染得到有效控制，水厂可恢复取水时，应急专家组应指导供水单位对取水、输水、净水、蓄水和配水等设备、设施进行清洗消毒，经对出厂水、末梢水检测合格后方可正式供水。</w:t>
      </w:r>
    </w:p>
    <w:p>
      <w:pPr>
        <w:pStyle w:val="5"/>
        <w:spacing w:beforeLines="0" w:afterLines="0"/>
        <w:rPr>
          <w:rFonts w:hint="eastAsia"/>
          <w:sz w:val="36"/>
          <w:szCs w:val="24"/>
        </w:rPr>
      </w:pPr>
      <w:bookmarkStart w:id="55" w:name="_Toc22622"/>
      <w:r>
        <w:rPr>
          <w:rFonts w:hint="eastAsia"/>
          <w:sz w:val="36"/>
          <w:szCs w:val="24"/>
        </w:rPr>
        <w:t>物资调集及应急设施启用</w:t>
      </w:r>
      <w:bookmarkEnd w:id="55"/>
    </w:p>
    <w:p>
      <w:pPr>
        <w:spacing w:beforeLines="0" w:afterLines="0"/>
        <w:rPr>
          <w:rFonts w:hint="eastAsia"/>
          <w:sz w:val="28"/>
          <w:szCs w:val="24"/>
        </w:rPr>
      </w:pPr>
      <w:r>
        <w:rPr>
          <w:rFonts w:hint="eastAsia"/>
          <w:sz w:val="28"/>
          <w:szCs w:val="24"/>
        </w:rPr>
        <w:t>当确定伦潭水库饮用水水源受污染时，按照现场应急指挥部指令，由上饶市铅山生态环境局牵头，应急物资保障组迅速进行物资调集，同时根据污染物的种类、浓度、可能影响取水口的时间，及时启用分流管、水泵等应急设施。</w:t>
      </w:r>
    </w:p>
    <w:p>
      <w:pPr>
        <w:spacing w:beforeLines="0" w:afterLines="0"/>
        <w:rPr>
          <w:rFonts w:hint="eastAsia"/>
          <w:sz w:val="28"/>
          <w:szCs w:val="24"/>
        </w:rPr>
      </w:pPr>
      <w:r>
        <w:rPr>
          <w:rFonts w:hint="eastAsia"/>
          <w:sz w:val="28"/>
          <w:szCs w:val="24"/>
        </w:rPr>
        <w:t>伦潭水库应急物资存放在伦潭水库发电站，同时根据污染物的种类、浓度从各相关部门采用汽车运输等方式调集相关应急物资。另外，应急物资保障组应对应急物资、装备、设施进行定期检查和维护。</w:t>
      </w:r>
    </w:p>
    <w:p>
      <w:pPr>
        <w:spacing w:beforeLines="0" w:afterLines="0"/>
        <w:rPr>
          <w:rFonts w:hint="eastAsia"/>
          <w:sz w:val="28"/>
          <w:szCs w:val="24"/>
        </w:rPr>
      </w:pPr>
      <w:r>
        <w:rPr>
          <w:rFonts w:hint="eastAsia"/>
          <w:sz w:val="28"/>
          <w:szCs w:val="24"/>
        </w:rPr>
        <w:t>水源地应急物资、装备和设施主要应包括内容：</w:t>
      </w:r>
    </w:p>
    <w:p>
      <w:pPr>
        <w:spacing w:beforeLines="0" w:afterLines="0"/>
        <w:rPr>
          <w:rFonts w:hint="eastAsia"/>
          <w:sz w:val="28"/>
          <w:szCs w:val="24"/>
        </w:rPr>
      </w:pPr>
      <w:r>
        <w:rPr>
          <w:rFonts w:hint="eastAsia"/>
          <w:sz w:val="28"/>
          <w:szCs w:val="24"/>
        </w:rPr>
        <w:t>（1）对水体内污染物进行打捞和拦截的物资、装备和设施：救援打捞设备、油毡、围油栏、筑坝材料、溢出控制装备等。</w:t>
      </w:r>
    </w:p>
    <w:p>
      <w:pPr>
        <w:spacing w:beforeLines="0" w:afterLines="0"/>
        <w:rPr>
          <w:rFonts w:hint="eastAsia"/>
          <w:sz w:val="28"/>
          <w:szCs w:val="24"/>
        </w:rPr>
      </w:pPr>
      <w:r>
        <w:rPr>
          <w:rFonts w:hint="eastAsia"/>
          <w:sz w:val="28"/>
          <w:szCs w:val="24"/>
        </w:rPr>
        <w:t>（2）控制和消除污染物的物资、装备和设施：中和剂、灭火剂、解毒剂、吸收剂等。</w:t>
      </w:r>
    </w:p>
    <w:p>
      <w:pPr>
        <w:spacing w:beforeLines="0" w:afterLines="0"/>
        <w:rPr>
          <w:rFonts w:hint="eastAsia"/>
          <w:sz w:val="28"/>
          <w:szCs w:val="24"/>
        </w:rPr>
      </w:pPr>
      <w:r>
        <w:rPr>
          <w:rFonts w:hint="eastAsia"/>
          <w:sz w:val="28"/>
          <w:szCs w:val="24"/>
        </w:rPr>
        <w:t>（3）移除和拦截移动源的装备和设施，如吊车、临时围堰、导流槽、应急池等。</w:t>
      </w:r>
    </w:p>
    <w:p>
      <w:pPr>
        <w:spacing w:beforeLines="0" w:afterLines="0"/>
        <w:rPr>
          <w:rFonts w:hint="eastAsia"/>
          <w:sz w:val="28"/>
          <w:szCs w:val="24"/>
        </w:rPr>
      </w:pPr>
      <w:r>
        <w:rPr>
          <w:rFonts w:hint="eastAsia"/>
          <w:sz w:val="28"/>
          <w:szCs w:val="24"/>
        </w:rPr>
        <w:t>（4）雨水口垃圾清运和拦截的装备和设施，如格栅、清运车、临时设置的导流槽等。</w:t>
      </w:r>
    </w:p>
    <w:p>
      <w:pPr>
        <w:spacing w:beforeLines="0" w:afterLines="0"/>
        <w:rPr>
          <w:rFonts w:hint="eastAsia"/>
          <w:sz w:val="28"/>
          <w:szCs w:val="24"/>
        </w:rPr>
      </w:pPr>
      <w:r>
        <w:rPr>
          <w:rFonts w:hint="eastAsia"/>
          <w:sz w:val="28"/>
          <w:szCs w:val="24"/>
        </w:rPr>
        <w:t>（5）针对水华灾害，消除有毒有害物质产生条件、清除藻类的物资、装备和设施，如增氧机、除草船等。</w:t>
      </w:r>
    </w:p>
    <w:p>
      <w:pPr>
        <w:spacing w:beforeLines="0" w:afterLines="0"/>
        <w:rPr>
          <w:rFonts w:hint="eastAsia"/>
          <w:sz w:val="28"/>
          <w:szCs w:val="24"/>
        </w:rPr>
      </w:pPr>
      <w:r>
        <w:rPr>
          <w:rFonts w:hint="eastAsia"/>
          <w:sz w:val="28"/>
          <w:szCs w:val="24"/>
        </w:rPr>
        <w:t>（6）对污染物进行拦截、导流、分流及降解的应急工程设施，如导流渠、分流沟等。</w:t>
      </w:r>
    </w:p>
    <w:p>
      <w:pPr>
        <w:spacing w:beforeLines="0" w:afterLines="0"/>
        <w:rPr>
          <w:rFonts w:hint="eastAsia"/>
          <w:sz w:val="28"/>
          <w:szCs w:val="24"/>
        </w:rPr>
      </w:pPr>
      <w:r>
        <w:rPr>
          <w:rFonts w:hint="eastAsia"/>
          <w:sz w:val="28"/>
          <w:szCs w:val="24"/>
        </w:rPr>
        <w:t>水源地突发事件常备应急物资详见附件12。</w:t>
      </w:r>
    </w:p>
    <w:p>
      <w:pPr>
        <w:pStyle w:val="5"/>
        <w:spacing w:beforeLines="0" w:afterLines="0"/>
        <w:rPr>
          <w:rFonts w:hint="eastAsia"/>
          <w:sz w:val="36"/>
          <w:szCs w:val="24"/>
        </w:rPr>
      </w:pPr>
      <w:bookmarkStart w:id="56" w:name="_Toc2537"/>
      <w:r>
        <w:rPr>
          <w:rFonts w:hint="eastAsia"/>
          <w:sz w:val="36"/>
          <w:szCs w:val="24"/>
        </w:rPr>
        <w:t>舆情监测与信息发布</w:t>
      </w:r>
      <w:bookmarkEnd w:id="56"/>
    </w:p>
    <w:p>
      <w:pPr>
        <w:pStyle w:val="6"/>
        <w:spacing w:beforeLines="0" w:afterLines="0"/>
        <w:rPr>
          <w:rFonts w:hint="eastAsia"/>
          <w:sz w:val="32"/>
          <w:szCs w:val="24"/>
        </w:rPr>
      </w:pPr>
      <w:bookmarkStart w:id="57" w:name="_Toc3776"/>
      <w:r>
        <w:rPr>
          <w:rFonts w:hint="eastAsia"/>
          <w:sz w:val="32"/>
          <w:szCs w:val="24"/>
        </w:rPr>
        <w:t>舆情监测</w:t>
      </w:r>
      <w:bookmarkEnd w:id="57"/>
    </w:p>
    <w:p>
      <w:pPr>
        <w:spacing w:beforeLines="0" w:afterLines="0"/>
        <w:rPr>
          <w:rFonts w:hint="eastAsia"/>
          <w:sz w:val="28"/>
          <w:szCs w:val="24"/>
        </w:rPr>
      </w:pPr>
      <w:r>
        <w:rPr>
          <w:rFonts w:hint="eastAsia"/>
          <w:sz w:val="28"/>
          <w:szCs w:val="24"/>
        </w:rPr>
        <w:t>（1）任何部门、单位或公民一旦发现铅山县伦潭水库饮用水源地污染事故或接到污染事故报告后，应当立即拨打0793-5160256热线，通知突发环境事件协调办公室。</w:t>
      </w:r>
    </w:p>
    <w:p>
      <w:pPr>
        <w:spacing w:beforeLines="0" w:afterLines="0"/>
        <w:rPr>
          <w:rFonts w:hint="eastAsia"/>
          <w:sz w:val="28"/>
          <w:szCs w:val="24"/>
        </w:rPr>
      </w:pPr>
      <w:r>
        <w:rPr>
          <w:rFonts w:hint="eastAsia"/>
          <w:sz w:val="28"/>
          <w:szCs w:val="24"/>
        </w:rPr>
        <w:t>（2）铅山县伦潭水库水资源管理中心应按照水库水源保护日常执法巡查制度，做好水库的日常监管工作，发现问题立即上报协调办公室、上饶市铅山生态环境局及铅山县水利局。</w:t>
      </w:r>
    </w:p>
    <w:p>
      <w:pPr>
        <w:spacing w:beforeLines="0" w:afterLines="0"/>
        <w:rPr>
          <w:rFonts w:hint="eastAsia"/>
          <w:sz w:val="28"/>
          <w:szCs w:val="24"/>
        </w:rPr>
      </w:pPr>
      <w:r>
        <w:rPr>
          <w:rFonts w:hint="eastAsia"/>
          <w:sz w:val="28"/>
          <w:szCs w:val="24"/>
        </w:rPr>
        <w:t>（3）水厂要按照规定和要求，严格做好入厂水和出厂水的水质常规监测，发现问题时必须详细做好记录，包括时间、地点、人物、事件及其状况，立即上报突发环境事件协调办公室。</w:t>
      </w:r>
    </w:p>
    <w:p>
      <w:pPr>
        <w:spacing w:beforeLines="0" w:afterLines="0"/>
        <w:rPr>
          <w:rFonts w:hint="eastAsia"/>
          <w:sz w:val="28"/>
          <w:szCs w:val="24"/>
        </w:rPr>
      </w:pPr>
      <w:r>
        <w:rPr>
          <w:rFonts w:hint="eastAsia"/>
          <w:sz w:val="28"/>
          <w:szCs w:val="24"/>
        </w:rPr>
        <w:t>（4）上饶市铅山生态环境局可通过伦潭水库上游及周边主要风险源监控、水库水质及藻密度变化情况的监测获取异常排放信息，也可通过0793-5160256热线、网络等途径获取突发环境事件信息；铅山县公安、交通部门可通过交通事故报警获取流动源事故信息。</w:t>
      </w:r>
    </w:p>
    <w:p>
      <w:pPr>
        <w:spacing w:beforeLines="0" w:afterLines="0"/>
        <w:rPr>
          <w:rFonts w:hint="eastAsia"/>
          <w:sz w:val="28"/>
          <w:szCs w:val="24"/>
        </w:rPr>
      </w:pPr>
      <w:r>
        <w:rPr>
          <w:rFonts w:hint="eastAsia"/>
          <w:sz w:val="28"/>
          <w:szCs w:val="24"/>
        </w:rPr>
        <w:t>（5）通过铅山县人民政府不同部门之间、上下游相邻行政区域政府之间建立的信息收集与共享渠道，获取突发环境事件信息。</w:t>
      </w:r>
    </w:p>
    <w:p>
      <w:pPr>
        <w:pStyle w:val="6"/>
        <w:spacing w:beforeLines="0" w:afterLines="0"/>
        <w:rPr>
          <w:rFonts w:hint="eastAsia"/>
          <w:sz w:val="32"/>
          <w:szCs w:val="24"/>
        </w:rPr>
      </w:pPr>
      <w:bookmarkStart w:id="58" w:name="_Toc1032"/>
      <w:r>
        <w:rPr>
          <w:rFonts w:hint="eastAsia"/>
          <w:sz w:val="32"/>
          <w:szCs w:val="24"/>
        </w:rPr>
        <w:t>信息发布</w:t>
      </w:r>
      <w:bookmarkEnd w:id="58"/>
    </w:p>
    <w:p>
      <w:pPr>
        <w:spacing w:beforeLines="0" w:afterLines="0"/>
        <w:rPr>
          <w:rFonts w:hint="eastAsia"/>
          <w:sz w:val="28"/>
          <w:szCs w:val="24"/>
        </w:rPr>
      </w:pPr>
      <w:r>
        <w:rPr>
          <w:rFonts w:hint="eastAsia"/>
          <w:sz w:val="28"/>
          <w:szCs w:val="24"/>
        </w:rPr>
        <w:t>现场应急指挥部在突发环境事件发生后，第一时间向社会发布信息，并针对舆情及时发布事件原因、影响区域、已采取的措施及成效、公众应注意的防范措施、热线电话等。</w:t>
      </w:r>
    </w:p>
    <w:p>
      <w:pPr>
        <w:spacing w:beforeLines="0" w:afterLines="0"/>
        <w:rPr>
          <w:rFonts w:hint="eastAsia"/>
          <w:sz w:val="28"/>
          <w:szCs w:val="24"/>
        </w:rPr>
      </w:pPr>
      <w:r>
        <w:rPr>
          <w:rFonts w:hint="eastAsia"/>
          <w:sz w:val="28"/>
          <w:szCs w:val="24"/>
        </w:rPr>
        <w:t>（1）各级政府及其有关部门接到突发环境事件通报后，应当及时通知本行政区域内有关部门和单位采取必要措施，防止和控制事件蔓延。</w:t>
      </w:r>
    </w:p>
    <w:p>
      <w:pPr>
        <w:spacing w:beforeLines="0" w:afterLines="0"/>
        <w:rPr>
          <w:rFonts w:hint="eastAsia"/>
          <w:sz w:val="28"/>
          <w:szCs w:val="24"/>
        </w:rPr>
      </w:pPr>
      <w:r>
        <w:rPr>
          <w:rFonts w:hint="eastAsia"/>
          <w:sz w:val="28"/>
          <w:szCs w:val="24"/>
        </w:rPr>
        <w:t>（2）应急协调办公室应及时向县政府及有关部门、生态环境部门通报突发环境事件有关情况。</w:t>
      </w:r>
    </w:p>
    <w:p>
      <w:pPr>
        <w:spacing w:beforeLines="0" w:afterLines="0"/>
        <w:rPr>
          <w:rFonts w:hint="eastAsia"/>
          <w:sz w:val="28"/>
          <w:szCs w:val="24"/>
        </w:rPr>
      </w:pPr>
      <w:r>
        <w:rPr>
          <w:rFonts w:hint="eastAsia"/>
          <w:sz w:val="28"/>
          <w:szCs w:val="24"/>
        </w:rPr>
        <w:t>红色突发环境事件的信息，由省级突发环境事件应急指挥机构负责发布。橙色突发环境事件的信息，由铅山县突发环境事件应急指挥机构负责发布或经铅山县政府批准，由铅山县人民政府和上饶市铅山生态环境局配合新闻宣传部门及时发布。</w:t>
      </w:r>
    </w:p>
    <w:p>
      <w:pPr>
        <w:spacing w:beforeLines="0" w:afterLines="0"/>
        <w:rPr>
          <w:rFonts w:hint="eastAsia"/>
          <w:sz w:val="28"/>
          <w:szCs w:val="24"/>
        </w:rPr>
      </w:pPr>
      <w:r>
        <w:rPr>
          <w:rFonts w:hint="eastAsia"/>
          <w:sz w:val="28"/>
          <w:szCs w:val="24"/>
        </w:rPr>
        <w:t>需发布灾害造成的直接经济损失数字，应事先征求评估部门的意见。同时，要做好舆论引导和舆情分析工作，加强对相关信息的核实、审查和管理，及时、准确、主动引导。</w:t>
      </w:r>
    </w:p>
    <w:p>
      <w:pPr>
        <w:pStyle w:val="5"/>
        <w:spacing w:beforeLines="0" w:afterLines="0"/>
        <w:rPr>
          <w:rFonts w:hint="eastAsia"/>
          <w:sz w:val="36"/>
          <w:szCs w:val="24"/>
        </w:rPr>
      </w:pPr>
      <w:bookmarkStart w:id="59" w:name="_Toc26680"/>
      <w:r>
        <w:rPr>
          <w:rFonts w:hint="eastAsia"/>
          <w:sz w:val="36"/>
          <w:szCs w:val="24"/>
        </w:rPr>
        <w:t>响应终止</w:t>
      </w:r>
      <w:bookmarkEnd w:id="59"/>
    </w:p>
    <w:p>
      <w:pPr>
        <w:pStyle w:val="6"/>
        <w:spacing w:beforeLines="0" w:afterLines="0"/>
        <w:rPr>
          <w:rFonts w:hint="eastAsia"/>
          <w:sz w:val="32"/>
          <w:szCs w:val="24"/>
        </w:rPr>
      </w:pPr>
      <w:bookmarkStart w:id="60" w:name="_Toc16702"/>
      <w:r>
        <w:rPr>
          <w:rFonts w:hint="eastAsia"/>
          <w:sz w:val="32"/>
          <w:szCs w:val="24"/>
        </w:rPr>
        <w:t>应急响应终止条件</w:t>
      </w:r>
      <w:bookmarkEnd w:id="60"/>
    </w:p>
    <w:p>
      <w:pPr>
        <w:spacing w:beforeLines="0" w:afterLines="0"/>
        <w:rPr>
          <w:rFonts w:hint="eastAsia"/>
          <w:sz w:val="28"/>
          <w:szCs w:val="24"/>
        </w:rPr>
      </w:pPr>
      <w:r>
        <w:rPr>
          <w:rFonts w:hint="eastAsia"/>
          <w:sz w:val="28"/>
          <w:szCs w:val="24"/>
        </w:rPr>
        <w:t>符合下列情形之一的，可终止应急响应。</w:t>
      </w:r>
    </w:p>
    <w:p>
      <w:pPr>
        <w:spacing w:beforeLines="0" w:afterLines="0"/>
        <w:rPr>
          <w:rFonts w:hint="eastAsia"/>
          <w:sz w:val="28"/>
          <w:szCs w:val="24"/>
        </w:rPr>
      </w:pPr>
      <w:r>
        <w:rPr>
          <w:rFonts w:hint="eastAsia"/>
          <w:sz w:val="28"/>
          <w:szCs w:val="24"/>
        </w:rPr>
        <w:t>（1）进入伦潭水库饮用水水源保护区陆域范围的污染物已成功围堵，且清运至水源保护区外，未向水域扩散时。</w:t>
      </w:r>
    </w:p>
    <w:p>
      <w:pPr>
        <w:spacing w:beforeLines="0" w:afterLines="0"/>
        <w:rPr>
          <w:rFonts w:hint="eastAsia"/>
          <w:sz w:val="28"/>
          <w:szCs w:val="24"/>
        </w:rPr>
      </w:pPr>
      <w:r>
        <w:rPr>
          <w:rFonts w:hint="eastAsia"/>
          <w:sz w:val="28"/>
          <w:szCs w:val="24"/>
        </w:rPr>
        <w:t>（2）进入伦潭水库饮用水水源保护区水域范围的污染团已成功拦截或导流至水源保护区外，没有向取水口扩散的风险，且水质监测结果稳定达标（</w:t>
      </w:r>
      <w:r>
        <w:rPr>
          <w:rFonts w:hint="eastAsia" w:eastAsia="Times New Roman"/>
          <w:sz w:val="28"/>
          <w:szCs w:val="24"/>
        </w:rPr>
        <w:t>24</w:t>
      </w:r>
      <w:r>
        <w:rPr>
          <w:rFonts w:hint="eastAsia"/>
          <w:sz w:val="28"/>
          <w:szCs w:val="24"/>
        </w:rPr>
        <w:t>小时1次，连续监测3天）。</w:t>
      </w:r>
    </w:p>
    <w:p>
      <w:pPr>
        <w:spacing w:beforeLines="0" w:afterLines="0"/>
        <w:rPr>
          <w:rFonts w:hint="eastAsia"/>
          <w:sz w:val="28"/>
          <w:szCs w:val="24"/>
        </w:rPr>
      </w:pPr>
      <w:r>
        <w:rPr>
          <w:rFonts w:hint="eastAsia"/>
          <w:sz w:val="28"/>
          <w:szCs w:val="24"/>
        </w:rPr>
        <w:t>（3）水质监测结果尚未稳定达标，但根据应急专家组建议可恢复正常取水时。</w:t>
      </w:r>
    </w:p>
    <w:p>
      <w:pPr>
        <w:spacing w:beforeLines="0" w:afterLines="0"/>
        <w:rPr>
          <w:rFonts w:hint="eastAsia"/>
          <w:sz w:val="28"/>
          <w:szCs w:val="24"/>
        </w:rPr>
      </w:pPr>
      <w:r>
        <w:rPr>
          <w:rFonts w:hint="eastAsia"/>
          <w:sz w:val="28"/>
          <w:szCs w:val="24"/>
        </w:rPr>
        <w:t>（4）铅山县伦潭水库饮用水源地突发环境事件现场得到控制，事件影响条件已经消除。</w:t>
      </w:r>
    </w:p>
    <w:p>
      <w:pPr>
        <w:spacing w:beforeLines="0" w:afterLines="0"/>
        <w:rPr>
          <w:rFonts w:hint="eastAsia"/>
          <w:sz w:val="28"/>
          <w:szCs w:val="24"/>
        </w:rPr>
      </w:pPr>
      <w:r>
        <w:rPr>
          <w:rFonts w:hint="eastAsia"/>
          <w:sz w:val="28"/>
          <w:szCs w:val="24"/>
        </w:rPr>
        <w:t>（5）污染源的泄漏或释放已降至规定限值以内。</w:t>
      </w:r>
    </w:p>
    <w:p>
      <w:pPr>
        <w:spacing w:beforeLines="0" w:afterLines="0"/>
        <w:rPr>
          <w:rFonts w:hint="eastAsia"/>
          <w:sz w:val="28"/>
          <w:szCs w:val="24"/>
        </w:rPr>
      </w:pPr>
      <w:r>
        <w:rPr>
          <w:rFonts w:hint="eastAsia"/>
          <w:sz w:val="28"/>
          <w:szCs w:val="24"/>
        </w:rPr>
        <w:t>（6）事件所造成的危害已经被彻底消除，无继发可能；</w:t>
      </w:r>
    </w:p>
    <w:p>
      <w:pPr>
        <w:spacing w:beforeLines="0" w:afterLines="0"/>
        <w:rPr>
          <w:rFonts w:hint="eastAsia"/>
          <w:sz w:val="28"/>
          <w:szCs w:val="24"/>
        </w:rPr>
      </w:pPr>
      <w:r>
        <w:rPr>
          <w:rFonts w:hint="eastAsia"/>
          <w:sz w:val="28"/>
          <w:szCs w:val="24"/>
        </w:rPr>
        <w:t>（7）事件现场的各种专业应急处置行动已无继续的必要；</w:t>
      </w:r>
    </w:p>
    <w:p>
      <w:pPr>
        <w:spacing w:beforeLines="0" w:afterLines="0"/>
        <w:rPr>
          <w:rFonts w:hint="eastAsia"/>
          <w:sz w:val="28"/>
          <w:szCs w:val="24"/>
        </w:rPr>
      </w:pPr>
      <w:r>
        <w:rPr>
          <w:rFonts w:hint="eastAsia"/>
          <w:sz w:val="28"/>
          <w:szCs w:val="24"/>
        </w:rPr>
        <w:t>（8）采取必要防护措施使事故可能引起的长期后果趋于合理且尽量低的水平。</w:t>
      </w:r>
    </w:p>
    <w:p>
      <w:pPr>
        <w:pStyle w:val="6"/>
        <w:spacing w:beforeLines="0" w:afterLines="0"/>
        <w:rPr>
          <w:rFonts w:hint="eastAsia"/>
          <w:sz w:val="32"/>
          <w:szCs w:val="24"/>
        </w:rPr>
      </w:pPr>
      <w:bookmarkStart w:id="61" w:name="_Toc28763"/>
      <w:r>
        <w:rPr>
          <w:rFonts w:hint="eastAsia"/>
          <w:sz w:val="32"/>
          <w:szCs w:val="24"/>
        </w:rPr>
        <w:t>应急响应终止程序</w:t>
      </w:r>
      <w:bookmarkEnd w:id="61"/>
    </w:p>
    <w:p>
      <w:pPr>
        <w:spacing w:beforeLines="0" w:afterLines="0"/>
        <w:rPr>
          <w:rFonts w:hint="eastAsia"/>
          <w:sz w:val="28"/>
          <w:szCs w:val="24"/>
        </w:rPr>
      </w:pPr>
      <w:r>
        <w:rPr>
          <w:rFonts w:hint="eastAsia"/>
          <w:sz w:val="28"/>
          <w:szCs w:val="24"/>
        </w:rPr>
        <w:t>伦潭水库饮用水水源地突发环境事件应急终止应按照以下程序进行：</w:t>
      </w:r>
    </w:p>
    <w:p>
      <w:pPr>
        <w:spacing w:beforeLines="0" w:afterLines="0"/>
        <w:rPr>
          <w:rFonts w:hint="eastAsia"/>
          <w:sz w:val="28"/>
          <w:szCs w:val="24"/>
        </w:rPr>
      </w:pPr>
      <w:r>
        <w:rPr>
          <w:rFonts w:hint="eastAsia"/>
          <w:sz w:val="28"/>
          <w:szCs w:val="24"/>
        </w:rPr>
        <w:t>（1）现场应急指挥部组织有关专家组根据应急监测结果、监控快报，确认事件已具备应急终止条件后，依次报请协调办公室和指挥部，经宣布启动应急响应的人民政府批准。</w:t>
      </w:r>
    </w:p>
    <w:p>
      <w:pPr>
        <w:spacing w:beforeLines="0" w:afterLines="0"/>
        <w:rPr>
          <w:rFonts w:hint="eastAsia"/>
          <w:sz w:val="28"/>
          <w:szCs w:val="24"/>
        </w:rPr>
      </w:pPr>
      <w:r>
        <w:rPr>
          <w:rFonts w:hint="eastAsia"/>
          <w:sz w:val="28"/>
          <w:szCs w:val="24"/>
        </w:rPr>
        <w:t>（2）现场应急指挥部接到指挥部的应急终止通知后，向所属各应急工作组下达应急终止命令，转入正常工作。</w:t>
      </w:r>
    </w:p>
    <w:p>
      <w:pPr>
        <w:spacing w:beforeLines="0" w:afterLines="0"/>
        <w:rPr>
          <w:rFonts w:hint="eastAsia"/>
          <w:sz w:val="28"/>
          <w:szCs w:val="24"/>
        </w:rPr>
      </w:pPr>
      <w:r>
        <w:rPr>
          <w:rFonts w:hint="eastAsia"/>
          <w:sz w:val="28"/>
          <w:szCs w:val="24"/>
        </w:rPr>
        <w:t>（3）应急状态终止后，应急监测组应根据现场应急指挥部指挥长有关指示和现场实际情况，继续进行环境监测和评价工作，直至其他补救措施无需继续进行为止。</w:t>
      </w:r>
    </w:p>
    <w:p>
      <w:pPr>
        <w:pStyle w:val="4"/>
        <w:spacing w:beforeLines="0" w:afterLines="0"/>
        <w:rPr>
          <w:rFonts w:hint="eastAsia"/>
          <w:sz w:val="44"/>
          <w:szCs w:val="24"/>
        </w:rPr>
      </w:pPr>
      <w:bookmarkStart w:id="62" w:name="_Toc5034"/>
      <w:r>
        <w:rPr>
          <w:rFonts w:hint="eastAsia"/>
          <w:sz w:val="36"/>
          <w:szCs w:val="24"/>
        </w:rPr>
        <w:t>后期工作</w:t>
      </w:r>
      <w:bookmarkEnd w:id="62"/>
    </w:p>
    <w:p>
      <w:pPr>
        <w:pStyle w:val="5"/>
        <w:spacing w:beforeLines="0" w:afterLines="0"/>
        <w:rPr>
          <w:rFonts w:hint="eastAsia"/>
          <w:sz w:val="36"/>
          <w:szCs w:val="24"/>
        </w:rPr>
      </w:pPr>
      <w:bookmarkStart w:id="63" w:name="_Toc14906"/>
      <w:r>
        <w:rPr>
          <w:rFonts w:hint="eastAsia"/>
          <w:sz w:val="36"/>
          <w:szCs w:val="24"/>
        </w:rPr>
        <w:t>后期防控</w:t>
      </w:r>
      <w:bookmarkEnd w:id="63"/>
    </w:p>
    <w:p>
      <w:pPr>
        <w:spacing w:beforeLines="0" w:afterLines="0"/>
        <w:rPr>
          <w:rFonts w:hint="eastAsia"/>
          <w:sz w:val="28"/>
          <w:szCs w:val="24"/>
        </w:rPr>
      </w:pPr>
      <w:r>
        <w:rPr>
          <w:rFonts w:hint="eastAsia"/>
          <w:sz w:val="28"/>
          <w:szCs w:val="24"/>
        </w:rPr>
        <w:t>应急响应终止后，现场应急指挥部针对事件现场污染的防控制定具体工作方案。具体的工作内容和要点如下：</w:t>
      </w:r>
    </w:p>
    <w:p>
      <w:pPr>
        <w:spacing w:beforeLines="0" w:afterLines="0"/>
        <w:rPr>
          <w:rFonts w:hint="eastAsia"/>
          <w:sz w:val="28"/>
          <w:szCs w:val="24"/>
        </w:rPr>
      </w:pPr>
      <w:r>
        <w:rPr>
          <w:rFonts w:hint="eastAsia"/>
          <w:sz w:val="28"/>
          <w:szCs w:val="24"/>
        </w:rPr>
        <w:t>（1）针对有事故泄漏的油品、化学品时，由铅山县应急管理局安排专业人员进行回收，直至油品、化学品全部消除为止，并做好实时记录。</w:t>
      </w:r>
    </w:p>
    <w:p>
      <w:pPr>
        <w:spacing w:beforeLines="0" w:afterLines="0"/>
        <w:rPr>
          <w:rFonts w:hint="eastAsia"/>
          <w:sz w:val="28"/>
          <w:szCs w:val="24"/>
        </w:rPr>
      </w:pPr>
      <w:r>
        <w:rPr>
          <w:rFonts w:hint="eastAsia"/>
          <w:sz w:val="28"/>
          <w:szCs w:val="24"/>
        </w:rPr>
        <w:t>（2）针对事故后水库水质，由上饶市铅山生态环境局安排铅山生态环境监测技术中心人员进行后期污染监测和治理，直至水质回至事故前平均水平为止，并做好实时记录。</w:t>
      </w:r>
    </w:p>
    <w:p>
      <w:pPr>
        <w:spacing w:beforeLines="0" w:afterLines="0"/>
        <w:rPr>
          <w:rFonts w:hint="eastAsia"/>
          <w:sz w:val="28"/>
          <w:szCs w:val="24"/>
        </w:rPr>
      </w:pPr>
      <w:r>
        <w:rPr>
          <w:rFonts w:hint="eastAsia"/>
          <w:sz w:val="28"/>
          <w:szCs w:val="24"/>
        </w:rPr>
        <w:t>（3）针对有事故后投放药剂的残留毒性和后期效应时，由铅山县卫生健康委安排专业人员消除投放药剂的残留毒性和后期效应，直至水质回至事故前平均水平为止，防止次生突发环境事件，并做好实时记录。</w:t>
      </w:r>
    </w:p>
    <w:p>
      <w:pPr>
        <w:spacing w:beforeLines="0" w:afterLines="0"/>
        <w:rPr>
          <w:rFonts w:hint="eastAsia"/>
          <w:sz w:val="28"/>
          <w:szCs w:val="24"/>
        </w:rPr>
      </w:pPr>
      <w:r>
        <w:rPr>
          <w:rFonts w:hint="eastAsia"/>
          <w:sz w:val="28"/>
          <w:szCs w:val="24"/>
        </w:rPr>
        <w:t>（4）针对事故场地及蔓延区域的污染物清除完成后，由上饶市铅山生态环境局安排专业人员对土壤或水生态系统进行修复；也可将部分污染物导流到伦潭水库下游或其他区域，对这些区域的污染物进行清除等，并做好实时记录。</w:t>
      </w:r>
    </w:p>
    <w:p>
      <w:pPr>
        <w:pStyle w:val="5"/>
        <w:spacing w:beforeLines="0" w:afterLines="0"/>
        <w:rPr>
          <w:rFonts w:hint="eastAsia"/>
          <w:sz w:val="36"/>
          <w:szCs w:val="24"/>
        </w:rPr>
      </w:pPr>
      <w:bookmarkStart w:id="64" w:name="_Toc28094"/>
      <w:r>
        <w:rPr>
          <w:rFonts w:hint="eastAsia"/>
          <w:sz w:val="36"/>
          <w:szCs w:val="24"/>
        </w:rPr>
        <w:t>事件调查</w:t>
      </w:r>
      <w:bookmarkEnd w:id="64"/>
    </w:p>
    <w:p>
      <w:pPr>
        <w:spacing w:beforeLines="0" w:afterLines="0"/>
        <w:rPr>
          <w:rFonts w:hint="eastAsia"/>
          <w:sz w:val="28"/>
          <w:szCs w:val="24"/>
        </w:rPr>
      </w:pPr>
      <w:r>
        <w:rPr>
          <w:rFonts w:hint="eastAsia"/>
          <w:sz w:val="28"/>
          <w:szCs w:val="24"/>
        </w:rPr>
        <w:t>事件调查应根据《突发环境事件调查处理办法》的相关规定进行。成立由上饶市铅山生态环境局主要负责人或主管环境应急管理工作的负责人担任组长，有应急管理、环境监测、环境影响评价管理、环境监察等相关机构有关人员参加的调查组，可根据突发环境事件的实际情况，邀请应急指挥部成员单位或者机构参加调查工作，调查组成员和受聘协助调查的人员不得与被调查的突发环境事件有利害关系，未经调查组组长同意，不得擅自发布环境事件调查的相关信息。较大突发环境事件和一般突发环境事件的调查期限为三十日。突发环境事件污染损害评估所需时间不计入调查期限。调查组应根据自然条件和社会经济特征，对事件性质进行分类，根据自然灾害、违法违规、事故类型等不同性质类别区分，明确事故责任人，提出整改防范措施和处理建议，最后形成事件调查报告并报铅山县人民政府。</w:t>
      </w:r>
    </w:p>
    <w:p>
      <w:pPr>
        <w:pStyle w:val="5"/>
        <w:spacing w:beforeLines="0" w:afterLines="0"/>
        <w:rPr>
          <w:rFonts w:hint="eastAsia"/>
          <w:sz w:val="36"/>
          <w:szCs w:val="24"/>
        </w:rPr>
      </w:pPr>
      <w:bookmarkStart w:id="65" w:name="_Toc4997"/>
      <w:r>
        <w:rPr>
          <w:rFonts w:hint="eastAsia"/>
          <w:sz w:val="36"/>
          <w:szCs w:val="24"/>
        </w:rPr>
        <w:t>损害评估</w:t>
      </w:r>
      <w:bookmarkEnd w:id="65"/>
    </w:p>
    <w:p>
      <w:pPr>
        <w:spacing w:beforeLines="0" w:afterLines="0"/>
        <w:rPr>
          <w:rFonts w:hint="eastAsia"/>
          <w:sz w:val="28"/>
          <w:szCs w:val="24"/>
        </w:rPr>
      </w:pPr>
      <w:r>
        <w:rPr>
          <w:rFonts w:hint="eastAsia"/>
          <w:sz w:val="28"/>
          <w:szCs w:val="24"/>
        </w:rPr>
        <w:t>根据铅山县人民政府有关规定，应及时组织开展污染损害评估，并将评估结果向社会公布。</w:t>
      </w:r>
    </w:p>
    <w:p>
      <w:pPr>
        <w:spacing w:beforeLines="0" w:afterLines="0"/>
        <w:rPr>
          <w:rFonts w:hint="eastAsia"/>
          <w:sz w:val="28"/>
          <w:szCs w:val="24"/>
        </w:rPr>
      </w:pPr>
      <w:r>
        <w:rPr>
          <w:rFonts w:hint="eastAsia"/>
          <w:sz w:val="28"/>
          <w:szCs w:val="24"/>
        </w:rPr>
        <w:t>（1）突发环境事件应急指挥部指导有关部门及铅山县伦潭水库水资源管理中心查找事件原因，防止类似问题的重复出现。</w:t>
      </w:r>
    </w:p>
    <w:p>
      <w:pPr>
        <w:spacing w:beforeLines="0" w:afterLines="0"/>
        <w:rPr>
          <w:rFonts w:hint="eastAsia"/>
          <w:sz w:val="28"/>
          <w:szCs w:val="24"/>
        </w:rPr>
      </w:pPr>
      <w:r>
        <w:rPr>
          <w:rFonts w:hint="eastAsia"/>
          <w:sz w:val="28"/>
          <w:szCs w:val="24"/>
        </w:rPr>
        <w:t>（2）协调办公室负责编制环境事件总结报告。橙色环境事件于应急终止后7天内，将环境事件总结报告上报县政府总值班室，并抄送上饶市铅山生态环境局。红色环境事件于应急终止后15天内，将环境事件总结报告上报铅山县人民政府和江西省人民政府，并抄送上饶市铅山生态环境局和江西省生态环境厅。</w:t>
      </w:r>
    </w:p>
    <w:p>
      <w:pPr>
        <w:spacing w:beforeLines="0" w:afterLines="0"/>
        <w:rPr>
          <w:rFonts w:hint="eastAsia"/>
          <w:sz w:val="28"/>
          <w:szCs w:val="24"/>
        </w:rPr>
      </w:pPr>
      <w:r>
        <w:rPr>
          <w:rFonts w:hint="eastAsia"/>
          <w:sz w:val="28"/>
          <w:szCs w:val="24"/>
        </w:rPr>
        <w:t>（3）应急过程评价。由突发环境事件应急指挥部组织有关专家，会同铅山县人民政府及相关部门组织评估，总结经验与教训。</w:t>
      </w:r>
    </w:p>
    <w:p>
      <w:pPr>
        <w:spacing w:beforeLines="0" w:afterLines="0"/>
        <w:rPr>
          <w:rFonts w:hint="eastAsia"/>
          <w:sz w:val="28"/>
          <w:szCs w:val="24"/>
        </w:rPr>
      </w:pPr>
      <w:r>
        <w:rPr>
          <w:rFonts w:hint="eastAsia"/>
          <w:sz w:val="28"/>
          <w:szCs w:val="24"/>
        </w:rPr>
        <w:t>（4）根据实践经验，有关类别环境事件专业主管部门负责组织对应急预案进行评估，并及时修订环境应急预案。</w:t>
      </w:r>
    </w:p>
    <w:p>
      <w:pPr>
        <w:pStyle w:val="5"/>
        <w:spacing w:beforeLines="0" w:afterLines="0"/>
        <w:rPr>
          <w:rFonts w:hint="eastAsia"/>
          <w:sz w:val="36"/>
          <w:szCs w:val="24"/>
        </w:rPr>
      </w:pPr>
      <w:bookmarkStart w:id="66" w:name="_Toc32618"/>
      <w:r>
        <w:rPr>
          <w:rFonts w:hint="eastAsia"/>
          <w:sz w:val="36"/>
          <w:szCs w:val="24"/>
        </w:rPr>
        <w:t>善后处置</w:t>
      </w:r>
      <w:bookmarkEnd w:id="66"/>
    </w:p>
    <w:p>
      <w:pPr>
        <w:spacing w:beforeLines="0" w:afterLines="0"/>
        <w:rPr>
          <w:rFonts w:hint="eastAsia"/>
          <w:sz w:val="28"/>
          <w:szCs w:val="24"/>
        </w:rPr>
      </w:pPr>
      <w:r>
        <w:rPr>
          <w:rFonts w:hint="eastAsia"/>
          <w:sz w:val="28"/>
          <w:szCs w:val="24"/>
        </w:rPr>
        <w:t>（1）在铅山县委、县政府统一领导下，由铅山县人民政府和部门负责组织实施善后处置工作，组织有关专家对受灾范围进行科学评估，提出补偿和对遭受污染的污染场地生态环境进行恢复和监管的建议。</w:t>
      </w:r>
    </w:p>
    <w:p>
      <w:pPr>
        <w:spacing w:beforeLines="0" w:afterLines="0"/>
        <w:rPr>
          <w:rFonts w:hint="eastAsia"/>
          <w:sz w:val="28"/>
          <w:szCs w:val="24"/>
        </w:rPr>
      </w:pPr>
      <w:r>
        <w:rPr>
          <w:rFonts w:hint="eastAsia"/>
          <w:sz w:val="28"/>
          <w:szCs w:val="24"/>
        </w:rPr>
        <w:t>（2）铅山县人民政府和部门应当做好安民、安抚、理赔工作，铅山县财政局等有关部门和相应机构应当做好社会救助、保险赔付等工作。</w:t>
      </w:r>
    </w:p>
    <w:p>
      <w:pPr>
        <w:spacing w:beforeLines="0" w:afterLines="0"/>
        <w:rPr>
          <w:rFonts w:hint="eastAsia"/>
          <w:sz w:val="28"/>
          <w:szCs w:val="24"/>
        </w:rPr>
      </w:pPr>
      <w:r>
        <w:rPr>
          <w:rFonts w:hint="eastAsia"/>
          <w:sz w:val="28"/>
          <w:szCs w:val="24"/>
        </w:rPr>
        <w:t>（3）参加应急行动的部门负责组织、指导环境应急队伍维护、保养应急仪器设备，使之始终保持良好的技术状态。</w:t>
      </w:r>
    </w:p>
    <w:p>
      <w:pPr>
        <w:spacing w:beforeLines="0" w:afterLines="0"/>
        <w:rPr>
          <w:rFonts w:hint="eastAsia"/>
          <w:sz w:val="28"/>
          <w:szCs w:val="24"/>
        </w:rPr>
      </w:pPr>
      <w:r>
        <w:rPr>
          <w:rFonts w:hint="eastAsia"/>
          <w:sz w:val="28"/>
          <w:szCs w:val="24"/>
        </w:rPr>
        <w:t>（4）继续跟踪对伦潭水库饮用水水源地水质的监测，及时掌握情况，做好处置。</w:t>
      </w:r>
    </w:p>
    <w:p>
      <w:pPr>
        <w:spacing w:beforeLines="0" w:afterLines="0"/>
        <w:rPr>
          <w:rFonts w:hint="eastAsia"/>
          <w:sz w:val="28"/>
          <w:szCs w:val="24"/>
        </w:rPr>
      </w:pPr>
    </w:p>
    <w:p>
      <w:pPr>
        <w:pStyle w:val="4"/>
        <w:spacing w:beforeLines="0" w:afterLines="0"/>
        <w:rPr>
          <w:rFonts w:hint="eastAsia"/>
          <w:sz w:val="44"/>
          <w:szCs w:val="24"/>
        </w:rPr>
      </w:pPr>
      <w:bookmarkStart w:id="67" w:name="_Toc2429"/>
      <w:r>
        <w:rPr>
          <w:rFonts w:hint="eastAsia"/>
          <w:sz w:val="36"/>
          <w:szCs w:val="24"/>
        </w:rPr>
        <w:t>应急保障</w:t>
      </w:r>
      <w:bookmarkEnd w:id="67"/>
    </w:p>
    <w:p>
      <w:pPr>
        <w:pStyle w:val="5"/>
        <w:spacing w:beforeLines="0" w:afterLines="0"/>
        <w:rPr>
          <w:rFonts w:hint="eastAsia"/>
          <w:sz w:val="36"/>
          <w:szCs w:val="24"/>
        </w:rPr>
      </w:pPr>
      <w:bookmarkStart w:id="68" w:name="_Toc4530"/>
      <w:r>
        <w:rPr>
          <w:rFonts w:hint="eastAsia"/>
          <w:sz w:val="36"/>
          <w:szCs w:val="24"/>
        </w:rPr>
        <w:t>通讯与信息保障</w:t>
      </w:r>
      <w:bookmarkEnd w:id="68"/>
    </w:p>
    <w:p>
      <w:pPr>
        <w:spacing w:beforeLines="0" w:afterLines="0"/>
        <w:rPr>
          <w:rFonts w:hint="eastAsia"/>
          <w:sz w:val="28"/>
          <w:szCs w:val="24"/>
        </w:rPr>
      </w:pPr>
      <w:r>
        <w:rPr>
          <w:rFonts w:hint="eastAsia"/>
          <w:sz w:val="28"/>
          <w:szCs w:val="24"/>
        </w:rPr>
        <w:t>应急指挥机构要建立和完善环境安全应急指挥系统、环境应急处置联动系统和环境安全科学预警系统，配备必要的有线、无线通信器材，确保本预案启动时应急指挥部、专业应急救援队伍之间的联络畅通。，指挥部办公室尽量采用移动电话进行相互之间的联系，确保及时沟通信息。24小时报警值班电话：0793-5160256。</w:t>
      </w:r>
    </w:p>
    <w:p>
      <w:pPr>
        <w:pStyle w:val="5"/>
        <w:spacing w:beforeLines="0" w:afterLines="0"/>
        <w:rPr>
          <w:rFonts w:hint="eastAsia"/>
          <w:sz w:val="36"/>
          <w:szCs w:val="24"/>
        </w:rPr>
      </w:pPr>
      <w:bookmarkStart w:id="69" w:name="_Toc5813"/>
      <w:r>
        <w:rPr>
          <w:rFonts w:hint="eastAsia"/>
          <w:sz w:val="36"/>
          <w:szCs w:val="24"/>
        </w:rPr>
        <w:t>应急队伍保障</w:t>
      </w:r>
      <w:bookmarkEnd w:id="69"/>
    </w:p>
    <w:p>
      <w:pPr>
        <w:spacing w:beforeLines="0" w:afterLines="0"/>
        <w:rPr>
          <w:rFonts w:hint="eastAsia"/>
          <w:sz w:val="28"/>
          <w:szCs w:val="24"/>
        </w:rPr>
      </w:pPr>
      <w:r>
        <w:rPr>
          <w:rFonts w:hint="eastAsia"/>
          <w:sz w:val="28"/>
          <w:szCs w:val="24"/>
        </w:rPr>
        <w:t>加强水源地环境应急队伍的建设，培训一支常备不懈，熟悉环境应急知识，充分掌握水源地突发环境事件处置措施的预备应急力量，保证在处置突发环境事件中能迅速参与并完成抢救、排险、消毒、监测等现场处置工作。</w:t>
      </w:r>
    </w:p>
    <w:p>
      <w:pPr>
        <w:spacing w:beforeLines="0" w:afterLines="0"/>
        <w:rPr>
          <w:rFonts w:hint="eastAsia"/>
          <w:sz w:val="28"/>
          <w:szCs w:val="24"/>
        </w:rPr>
      </w:pPr>
      <w:r>
        <w:rPr>
          <w:rFonts w:hint="eastAsia"/>
          <w:sz w:val="28"/>
          <w:szCs w:val="24"/>
        </w:rPr>
        <w:t>另外，应急队伍培训由铅山县人民政府根据应急队伍知识技能掌握程度自定，至少每年一次，包括信息报告、个体防护、应急资源使用、应急监测布点及监测方法、应急处置方法等培训科目。</w:t>
      </w:r>
    </w:p>
    <w:p>
      <w:pPr>
        <w:pStyle w:val="5"/>
        <w:spacing w:beforeLines="0" w:afterLines="0"/>
        <w:rPr>
          <w:rFonts w:hint="eastAsia"/>
          <w:sz w:val="36"/>
          <w:szCs w:val="24"/>
        </w:rPr>
      </w:pPr>
      <w:bookmarkStart w:id="70" w:name="_Toc15352"/>
      <w:r>
        <w:rPr>
          <w:rFonts w:hint="eastAsia"/>
          <w:sz w:val="36"/>
          <w:szCs w:val="24"/>
        </w:rPr>
        <w:t>应急资源保障</w:t>
      </w:r>
      <w:bookmarkEnd w:id="70"/>
    </w:p>
    <w:p>
      <w:pPr>
        <w:spacing w:beforeLines="0" w:afterLines="0"/>
        <w:rPr>
          <w:rFonts w:hint="eastAsia"/>
          <w:sz w:val="28"/>
          <w:szCs w:val="24"/>
        </w:rPr>
      </w:pPr>
      <w:r>
        <w:rPr>
          <w:rFonts w:hint="eastAsia"/>
          <w:sz w:val="28"/>
          <w:szCs w:val="24"/>
        </w:rPr>
        <w:t>应急物资装备保质保量的储备和供应是应急抢险顺利进行的基础保障，应急管理局负责救援物资发放，公安局负责维护社会治安、保障道路交通畅通工作，财政局负责调拨事件应急体系运行经费，交通运输局负责协调应急处置所需的交通运输。</w:t>
      </w:r>
    </w:p>
    <w:p>
      <w:pPr>
        <w:spacing w:beforeLines="0" w:afterLines="0"/>
        <w:rPr>
          <w:rFonts w:hint="eastAsia"/>
          <w:sz w:val="28"/>
          <w:szCs w:val="24"/>
        </w:rPr>
      </w:pPr>
      <w:r>
        <w:rPr>
          <w:rFonts w:hint="eastAsia"/>
          <w:sz w:val="28"/>
          <w:szCs w:val="24"/>
        </w:rPr>
        <w:t>铅山生态环境监测技术中心目前缺乏环境应急监测设备，不具备环境应急监测能力，应及时购置环境应急监测设备，同时铅山县人民政府应建立突发环境事件应急物资储备制度，加强对储备物资的动态管理，保证及时补充和更新。建立重要的突发环境事件应急物资监测网络及突发环境事件应急物资生产、储备、调拨和紧急配送体系，是保障应急处置和恢复治理工作的需要。</w:t>
      </w:r>
    </w:p>
    <w:p>
      <w:pPr>
        <w:pStyle w:val="5"/>
        <w:spacing w:beforeLines="0" w:afterLines="0"/>
        <w:rPr>
          <w:rFonts w:hint="eastAsia"/>
          <w:sz w:val="36"/>
          <w:szCs w:val="24"/>
        </w:rPr>
      </w:pPr>
      <w:bookmarkStart w:id="71" w:name="_Toc18363"/>
      <w:r>
        <w:rPr>
          <w:rFonts w:hint="eastAsia"/>
          <w:sz w:val="36"/>
          <w:szCs w:val="24"/>
        </w:rPr>
        <w:t>经费保障</w:t>
      </w:r>
      <w:bookmarkEnd w:id="71"/>
    </w:p>
    <w:p>
      <w:pPr>
        <w:spacing w:beforeLines="0" w:afterLines="0"/>
        <w:rPr>
          <w:rFonts w:hint="eastAsia"/>
          <w:sz w:val="28"/>
          <w:szCs w:val="24"/>
        </w:rPr>
      </w:pPr>
      <w:r>
        <w:rPr>
          <w:rFonts w:hint="eastAsia"/>
          <w:sz w:val="28"/>
          <w:szCs w:val="24"/>
        </w:rPr>
        <w:t>铅山县人民政府应保障处置铅山县伦潭水库饮用水水源地突发环境事件的应急经费。所需经费列入同级政府财政预算，捐助资金纳入各级财政专户管理，统一安排使用。应急处置结束后据实核销应急处置费用；加强应急工作经费的审计和监督管理，确保专款专用等。</w:t>
      </w:r>
    </w:p>
    <w:p>
      <w:pPr>
        <w:pStyle w:val="5"/>
        <w:spacing w:beforeLines="0" w:afterLines="0"/>
        <w:rPr>
          <w:rFonts w:hint="eastAsia"/>
          <w:sz w:val="36"/>
          <w:szCs w:val="24"/>
        </w:rPr>
      </w:pPr>
      <w:bookmarkStart w:id="72" w:name="_Toc22042"/>
      <w:r>
        <w:rPr>
          <w:rFonts w:hint="eastAsia"/>
          <w:sz w:val="36"/>
          <w:szCs w:val="24"/>
        </w:rPr>
        <w:t>其他保障</w:t>
      </w:r>
      <w:bookmarkEnd w:id="72"/>
    </w:p>
    <w:p>
      <w:pPr>
        <w:pStyle w:val="6"/>
        <w:spacing w:beforeLines="0" w:afterLines="0"/>
        <w:rPr>
          <w:rFonts w:hint="eastAsia"/>
          <w:sz w:val="32"/>
          <w:szCs w:val="24"/>
        </w:rPr>
      </w:pPr>
      <w:bookmarkStart w:id="73" w:name="_Toc2513"/>
      <w:r>
        <w:rPr>
          <w:rFonts w:hint="eastAsia"/>
          <w:sz w:val="32"/>
          <w:szCs w:val="24"/>
        </w:rPr>
        <w:t>技术保障</w:t>
      </w:r>
      <w:bookmarkEnd w:id="73"/>
    </w:p>
    <w:p>
      <w:pPr>
        <w:spacing w:beforeLines="0" w:afterLines="0"/>
        <w:rPr>
          <w:rFonts w:hint="eastAsia"/>
          <w:sz w:val="28"/>
          <w:szCs w:val="24"/>
        </w:rPr>
      </w:pPr>
      <w:r>
        <w:rPr>
          <w:rFonts w:hint="eastAsia"/>
          <w:sz w:val="28"/>
          <w:szCs w:val="24"/>
        </w:rPr>
        <w:t>加强应急专家信息库的建设，对水源地突发环境事件的应急处置与救援、事后恢复与重建提供技术支撑，提高应急处置能力；设立专项资金，加强对使用现场处置先进技术、装备的研究和培训，建立科学的环境应急指挥技术平台，实现信息综合集成、分析处理、污染评估的智能化和数字化，确保决策的科学化。</w:t>
      </w:r>
    </w:p>
    <w:p>
      <w:pPr>
        <w:pStyle w:val="6"/>
        <w:spacing w:beforeLines="0" w:afterLines="0"/>
        <w:rPr>
          <w:rFonts w:hint="eastAsia"/>
          <w:sz w:val="32"/>
          <w:szCs w:val="24"/>
        </w:rPr>
      </w:pPr>
      <w:bookmarkStart w:id="74" w:name="_Toc29782"/>
      <w:r>
        <w:rPr>
          <w:rFonts w:hint="eastAsia"/>
          <w:sz w:val="32"/>
          <w:szCs w:val="24"/>
        </w:rPr>
        <w:t>物资运输保障</w:t>
      </w:r>
      <w:bookmarkEnd w:id="74"/>
    </w:p>
    <w:p>
      <w:pPr>
        <w:spacing w:beforeLines="0" w:afterLines="0"/>
        <w:rPr>
          <w:rFonts w:hint="eastAsia"/>
          <w:sz w:val="28"/>
          <w:szCs w:val="24"/>
        </w:rPr>
      </w:pPr>
      <w:r>
        <w:rPr>
          <w:rFonts w:hint="eastAsia"/>
          <w:sz w:val="28"/>
          <w:szCs w:val="24"/>
        </w:rPr>
        <w:t>出现突发环境事件时，各有关单位的车辆紧急征用作为交通运输保障，由现场应急指挥协调办公室统一调度，确保发生突发环境事件时能够立即赶赴现场，完成应急救援任务。有必要的情况下，请求县交通运输部门提供交通支持，保证及时调运相关救援人员、装备和物质。</w:t>
      </w:r>
    </w:p>
    <w:p>
      <w:pPr>
        <w:pStyle w:val="6"/>
        <w:spacing w:beforeLines="0" w:afterLines="0"/>
        <w:rPr>
          <w:rFonts w:hint="eastAsia"/>
          <w:sz w:val="32"/>
          <w:szCs w:val="24"/>
        </w:rPr>
      </w:pPr>
      <w:bookmarkStart w:id="75" w:name="_Toc12670"/>
      <w:r>
        <w:rPr>
          <w:rFonts w:hint="eastAsia"/>
          <w:sz w:val="32"/>
          <w:szCs w:val="24"/>
        </w:rPr>
        <w:t>医疗卫生救助保障</w:t>
      </w:r>
      <w:bookmarkEnd w:id="75"/>
    </w:p>
    <w:p>
      <w:pPr>
        <w:spacing w:beforeLines="0" w:afterLines="0"/>
        <w:rPr>
          <w:rFonts w:hint="eastAsia"/>
          <w:sz w:val="28"/>
          <w:szCs w:val="24"/>
        </w:rPr>
      </w:pPr>
      <w:r>
        <w:rPr>
          <w:rFonts w:hint="eastAsia"/>
          <w:sz w:val="28"/>
          <w:szCs w:val="24"/>
        </w:rPr>
        <w:t>铅山县人民政府按预案要求进行医疗应急物资的储备，以确保发生突发事件时的医疗所需，并严格按相应的医疗存放措施进行保存、更换。达不到额定的储存数量时，立即按采购流程进行补充。</w:t>
      </w:r>
    </w:p>
    <w:p>
      <w:pPr>
        <w:spacing w:beforeLines="0" w:afterLines="0"/>
        <w:rPr>
          <w:rFonts w:hint="eastAsia"/>
          <w:sz w:val="28"/>
          <w:szCs w:val="24"/>
        </w:rPr>
      </w:pPr>
      <w:r>
        <w:rPr>
          <w:rFonts w:hint="eastAsia"/>
          <w:sz w:val="28"/>
          <w:szCs w:val="24"/>
        </w:rPr>
        <w:t>受伤人员视受伤程度，经简单应急处置后，第一时间送至周边医疗卫生机构进一步治疗，定期邀请专业人士对医疗善后组成员进行基本救护常识的培训。</w:t>
      </w:r>
    </w:p>
    <w:p>
      <w:pPr>
        <w:pStyle w:val="4"/>
        <w:spacing w:beforeLines="0" w:afterLines="0"/>
        <w:rPr>
          <w:rFonts w:hint="eastAsia"/>
          <w:sz w:val="44"/>
          <w:szCs w:val="24"/>
        </w:rPr>
      </w:pPr>
      <w:bookmarkStart w:id="76" w:name="_Toc6858"/>
      <w:r>
        <w:rPr>
          <w:rFonts w:hint="eastAsia"/>
          <w:sz w:val="36"/>
          <w:szCs w:val="24"/>
        </w:rPr>
        <w:t>附则</w:t>
      </w:r>
      <w:bookmarkEnd w:id="76"/>
    </w:p>
    <w:p>
      <w:pPr>
        <w:pStyle w:val="5"/>
        <w:spacing w:beforeLines="0" w:afterLines="0"/>
        <w:rPr>
          <w:rFonts w:hint="eastAsia"/>
          <w:sz w:val="36"/>
          <w:szCs w:val="24"/>
        </w:rPr>
      </w:pPr>
      <w:bookmarkStart w:id="77" w:name="_Toc30664"/>
      <w:r>
        <w:rPr>
          <w:rFonts w:hint="eastAsia"/>
          <w:sz w:val="36"/>
          <w:szCs w:val="24"/>
        </w:rPr>
        <w:t>名词术语</w:t>
      </w:r>
      <w:bookmarkEnd w:id="77"/>
    </w:p>
    <w:p>
      <w:pPr>
        <w:spacing w:beforeLines="0" w:afterLines="0"/>
        <w:rPr>
          <w:rFonts w:hint="eastAsia"/>
          <w:sz w:val="28"/>
          <w:szCs w:val="24"/>
        </w:rPr>
      </w:pPr>
      <w:r>
        <w:rPr>
          <w:rFonts w:hint="eastAsia"/>
          <w:b/>
          <w:sz w:val="28"/>
          <w:szCs w:val="24"/>
        </w:rPr>
        <w:t>环境事件</w:t>
      </w:r>
      <w:r>
        <w:rPr>
          <w:rFonts w:hint="eastAsia"/>
          <w:sz w:val="28"/>
          <w:szCs w:val="24"/>
        </w:rPr>
        <w:t>：是指由于违反环境保护法律法规的经济、社会活动与行为，以及意外因素的影响或部可以抗拒的自然灾害等原因致使环境受到污染，人体健康受到危害，社会经济与人民群众财产受到损失，造成不良社会影响的事件。</w:t>
      </w:r>
    </w:p>
    <w:p>
      <w:pPr>
        <w:spacing w:beforeLines="0" w:afterLines="0"/>
        <w:rPr>
          <w:rFonts w:hint="eastAsia"/>
          <w:sz w:val="28"/>
          <w:szCs w:val="24"/>
        </w:rPr>
      </w:pPr>
      <w:r>
        <w:rPr>
          <w:rFonts w:hint="eastAsia"/>
          <w:b/>
          <w:sz w:val="28"/>
          <w:szCs w:val="24"/>
        </w:rPr>
        <w:t>突发性环境污染事件</w:t>
      </w:r>
      <w:r>
        <w:rPr>
          <w:rFonts w:hint="eastAsia"/>
          <w:sz w:val="28"/>
          <w:szCs w:val="24"/>
        </w:rPr>
        <w:t>：指突然发生，造成或者可能造成重大人员伤亡、重大财产损失和对全国或者某一地区的经济社会稳定、政治安定构成重大威胁和损害，有重大社会影响的涉及公共安全的环境事件。</w:t>
      </w:r>
    </w:p>
    <w:p>
      <w:pPr>
        <w:spacing w:beforeLines="0" w:afterLines="0"/>
        <w:rPr>
          <w:rFonts w:hint="eastAsia"/>
          <w:sz w:val="28"/>
          <w:szCs w:val="24"/>
        </w:rPr>
      </w:pPr>
      <w:r>
        <w:rPr>
          <w:rFonts w:hint="eastAsia"/>
          <w:b/>
          <w:sz w:val="28"/>
          <w:szCs w:val="24"/>
        </w:rPr>
        <w:t>应急预案</w:t>
      </w:r>
      <w:r>
        <w:rPr>
          <w:rFonts w:hint="eastAsia"/>
          <w:sz w:val="28"/>
          <w:szCs w:val="24"/>
        </w:rPr>
        <w:t>：针对可能或已发生的突发性环境污染事件需要立即采取某些超出正常工作程序的行动，以避免事件发生或减轻事件后果的状态，也称为紧急状态；同时也泛指立即采取超出正常工作程序的行动。</w:t>
      </w:r>
    </w:p>
    <w:p>
      <w:pPr>
        <w:spacing w:beforeLines="0" w:afterLines="0"/>
        <w:rPr>
          <w:rFonts w:hint="eastAsia"/>
          <w:sz w:val="28"/>
          <w:szCs w:val="24"/>
        </w:rPr>
      </w:pPr>
      <w:r>
        <w:rPr>
          <w:rFonts w:hint="eastAsia"/>
          <w:b/>
          <w:sz w:val="28"/>
          <w:szCs w:val="24"/>
        </w:rPr>
        <w:t>集中式地表水饮用水水源地</w:t>
      </w:r>
      <w:r>
        <w:rPr>
          <w:rFonts w:hint="eastAsia"/>
          <w:sz w:val="28"/>
          <w:szCs w:val="24"/>
        </w:rPr>
        <w:t>：指进入输水管网、送到用户且具有一定取水规模（供水人口一般大于1000人）的在用、备用和规划的地表水饮用水水源地。依据取水口所在水体类型不同，可分为河流型水源地和湖泊（水库）型水源地。</w:t>
      </w:r>
    </w:p>
    <w:p>
      <w:pPr>
        <w:spacing w:beforeLines="0" w:afterLines="0"/>
        <w:rPr>
          <w:rFonts w:hint="eastAsia"/>
          <w:sz w:val="28"/>
          <w:szCs w:val="24"/>
        </w:rPr>
      </w:pPr>
      <w:r>
        <w:rPr>
          <w:rFonts w:hint="eastAsia"/>
          <w:b/>
          <w:sz w:val="28"/>
          <w:szCs w:val="24"/>
        </w:rPr>
        <w:t>环境保护目标（敏感目标）</w:t>
      </w:r>
      <w:r>
        <w:rPr>
          <w:rFonts w:hint="eastAsia"/>
          <w:sz w:val="28"/>
          <w:szCs w:val="24"/>
        </w:rPr>
        <w:t>：居民集中区、饮用水源地、国家重点野生植物与自然保护区等。</w:t>
      </w:r>
    </w:p>
    <w:p>
      <w:pPr>
        <w:spacing w:beforeLines="0" w:afterLines="0"/>
        <w:rPr>
          <w:rFonts w:hint="eastAsia"/>
          <w:sz w:val="28"/>
          <w:szCs w:val="24"/>
        </w:rPr>
      </w:pPr>
      <w:r>
        <w:rPr>
          <w:rFonts w:hint="eastAsia"/>
          <w:b/>
          <w:sz w:val="28"/>
          <w:szCs w:val="24"/>
        </w:rPr>
        <w:t>应急准备</w:t>
      </w:r>
      <w:r>
        <w:rPr>
          <w:rFonts w:hint="eastAsia"/>
          <w:sz w:val="28"/>
          <w:szCs w:val="24"/>
        </w:rPr>
        <w:t>：指针对可能发生的环境污染事故，为迅速、有序地开展应急行动而预先进行的组织准备和应急保障。</w:t>
      </w:r>
    </w:p>
    <w:p>
      <w:pPr>
        <w:spacing w:beforeLines="0" w:afterLines="0"/>
        <w:rPr>
          <w:rFonts w:hint="eastAsia"/>
          <w:sz w:val="28"/>
          <w:szCs w:val="24"/>
        </w:rPr>
      </w:pPr>
      <w:r>
        <w:rPr>
          <w:rFonts w:hint="eastAsia"/>
          <w:b/>
          <w:sz w:val="28"/>
          <w:szCs w:val="24"/>
        </w:rPr>
        <w:t>应急响应</w:t>
      </w:r>
      <w:r>
        <w:rPr>
          <w:rFonts w:hint="eastAsia"/>
          <w:sz w:val="28"/>
          <w:szCs w:val="24"/>
        </w:rPr>
        <w:t>：指环境污染事故发生后，有关组织或人员采取的应急行动。</w:t>
      </w:r>
    </w:p>
    <w:p>
      <w:pPr>
        <w:spacing w:beforeLines="0" w:afterLines="0"/>
        <w:rPr>
          <w:rFonts w:hint="eastAsia"/>
          <w:sz w:val="28"/>
          <w:szCs w:val="24"/>
        </w:rPr>
      </w:pPr>
      <w:r>
        <w:rPr>
          <w:rFonts w:hint="eastAsia"/>
          <w:b/>
          <w:sz w:val="28"/>
          <w:szCs w:val="24"/>
        </w:rPr>
        <w:t>应急救援</w:t>
      </w:r>
      <w:r>
        <w:rPr>
          <w:rFonts w:hint="eastAsia"/>
          <w:sz w:val="28"/>
          <w:szCs w:val="24"/>
        </w:rPr>
        <w:t>：指环境污染事故发生时，采取的消除、减少事故危害和防止事故恶化，最大限度降低事故损失的措施。</w:t>
      </w:r>
    </w:p>
    <w:p>
      <w:pPr>
        <w:spacing w:beforeLines="0" w:afterLines="0"/>
        <w:rPr>
          <w:rFonts w:hint="eastAsia"/>
          <w:sz w:val="28"/>
          <w:szCs w:val="24"/>
        </w:rPr>
      </w:pPr>
      <w:r>
        <w:rPr>
          <w:rFonts w:hint="eastAsia"/>
          <w:b/>
          <w:sz w:val="28"/>
          <w:szCs w:val="24"/>
        </w:rPr>
        <w:t>应急监测</w:t>
      </w:r>
      <w:r>
        <w:rPr>
          <w:rFonts w:hint="eastAsia"/>
          <w:sz w:val="28"/>
          <w:szCs w:val="24"/>
        </w:rPr>
        <w:t>：环境应急情况下，为发现和查明环境污染情况和污染范围而进行的环境监测。包括定点监测和动态监测。</w:t>
      </w:r>
    </w:p>
    <w:p>
      <w:pPr>
        <w:spacing w:beforeLines="0" w:afterLines="0"/>
        <w:rPr>
          <w:rFonts w:hint="eastAsia"/>
          <w:sz w:val="28"/>
          <w:szCs w:val="24"/>
        </w:rPr>
      </w:pPr>
      <w:r>
        <w:rPr>
          <w:rFonts w:hint="eastAsia"/>
          <w:b/>
          <w:sz w:val="28"/>
          <w:szCs w:val="24"/>
        </w:rPr>
        <w:t>应急演练</w:t>
      </w:r>
      <w:r>
        <w:rPr>
          <w:rFonts w:hint="eastAsia"/>
          <w:sz w:val="28"/>
          <w:szCs w:val="24"/>
        </w:rPr>
        <w:t>：是指在事先虚拟的事件（事故）条件下，应急指挥体系中各个组成部门、单位或群体的人员针对假设的特定情况，执行实际突发事件发生时各自职责和任务的排练活动，简单地讲就是种模拟突发事件发生的应对演习。</w:t>
      </w:r>
    </w:p>
    <w:p>
      <w:pPr>
        <w:spacing w:beforeLines="0" w:afterLines="0"/>
        <w:rPr>
          <w:rFonts w:hint="eastAsia"/>
          <w:sz w:val="28"/>
          <w:szCs w:val="24"/>
        </w:rPr>
      </w:pPr>
      <w:r>
        <w:rPr>
          <w:rFonts w:hint="eastAsia"/>
          <w:b/>
          <w:sz w:val="28"/>
          <w:szCs w:val="24"/>
        </w:rPr>
        <w:t>泄漏处理</w:t>
      </w:r>
      <w:r>
        <w:rPr>
          <w:rFonts w:hint="eastAsia"/>
          <w:sz w:val="28"/>
          <w:szCs w:val="24"/>
        </w:rPr>
        <w:t>：泄漏处理是指对危险化学物品、危险废物、放射性物质、有毒气体等污染源因事件发生泄漏时所采取的应急处置措施。泄漏处理要及时、得当，避免重大事件的发生。泄漏处理一般分为泄漏源控制和泄漏物处置量部分。</w:t>
      </w:r>
    </w:p>
    <w:p>
      <w:pPr>
        <w:spacing w:beforeLines="0" w:afterLines="0"/>
        <w:rPr>
          <w:rFonts w:hint="eastAsia"/>
          <w:sz w:val="28"/>
          <w:szCs w:val="24"/>
        </w:rPr>
      </w:pPr>
      <w:r>
        <w:rPr>
          <w:rFonts w:hint="eastAsia"/>
          <w:b/>
          <w:sz w:val="28"/>
          <w:szCs w:val="24"/>
        </w:rPr>
        <w:t>饮用水水源保护区</w:t>
      </w:r>
      <w:r>
        <w:rPr>
          <w:rFonts w:hint="eastAsia"/>
          <w:sz w:val="28"/>
          <w:szCs w:val="24"/>
        </w:rPr>
        <w:t>：指国家为防治饮用水水源地污染、保障水源地环境质量而划定，并要求加以特殊保护的一定面积的水域和陆域。饮用水水源保护区分为一级保护区和二级保护区，必要时可在水源保护区外划定准保护区。</w:t>
      </w:r>
    </w:p>
    <w:p>
      <w:pPr>
        <w:spacing w:beforeLines="0" w:afterLines="0"/>
        <w:rPr>
          <w:rFonts w:hint="eastAsia"/>
          <w:sz w:val="28"/>
          <w:szCs w:val="24"/>
        </w:rPr>
      </w:pPr>
      <w:r>
        <w:rPr>
          <w:rFonts w:hint="eastAsia"/>
          <w:b/>
          <w:sz w:val="28"/>
          <w:szCs w:val="24"/>
        </w:rPr>
        <w:t>地表水饮用水水源地风险物质</w:t>
      </w:r>
      <w:r>
        <w:rPr>
          <w:rFonts w:hint="eastAsia"/>
          <w:sz w:val="28"/>
          <w:szCs w:val="24"/>
        </w:rPr>
        <w:t>：指《地表水环境质量标准》中表1、表2和表3所包含的项目与物质，以及该标准之外其他可能影响人体健康的项目与物质。</w:t>
      </w:r>
    </w:p>
    <w:p>
      <w:pPr>
        <w:spacing w:beforeLines="0" w:afterLines="0"/>
        <w:rPr>
          <w:rFonts w:hint="eastAsia"/>
          <w:sz w:val="28"/>
          <w:szCs w:val="24"/>
        </w:rPr>
      </w:pPr>
      <w:r>
        <w:rPr>
          <w:rFonts w:hint="eastAsia"/>
          <w:b/>
          <w:sz w:val="28"/>
          <w:szCs w:val="24"/>
        </w:rPr>
        <w:t>饮用水水源地突发环境事件</w:t>
      </w:r>
      <w:r>
        <w:rPr>
          <w:rFonts w:hint="eastAsia"/>
          <w:sz w:val="28"/>
          <w:szCs w:val="24"/>
        </w:rPr>
        <w:t>：指由于污染物排放或自然灾害、生产安全事故、交通运输事故等因素，导致水源地风险物质进入水源保护区或其上游的连接水体，突然造成或可能造成水源地水质超标，影响或可能影响饮用水供水单位正常取水，危及公众身体健康和财产安全，需要采取紧急措施予以应对的事件。</w:t>
      </w:r>
    </w:p>
    <w:p>
      <w:pPr>
        <w:spacing w:beforeLines="0" w:afterLines="0"/>
        <w:rPr>
          <w:rFonts w:hint="eastAsia"/>
          <w:sz w:val="28"/>
          <w:szCs w:val="24"/>
        </w:rPr>
      </w:pPr>
      <w:r>
        <w:rPr>
          <w:rFonts w:hint="eastAsia"/>
          <w:b/>
          <w:sz w:val="28"/>
          <w:szCs w:val="24"/>
        </w:rPr>
        <w:t>水质超标</w:t>
      </w:r>
      <w:r>
        <w:rPr>
          <w:rFonts w:hint="eastAsia"/>
          <w:sz w:val="28"/>
          <w:szCs w:val="24"/>
        </w:rPr>
        <w:t>：指水源地水质超过《地表水环境质量标准》规定水质标准或标准限值的要求。</w:t>
      </w:r>
    </w:p>
    <w:p>
      <w:pPr>
        <w:pStyle w:val="5"/>
        <w:spacing w:beforeLines="0" w:afterLines="0"/>
        <w:rPr>
          <w:rFonts w:hint="eastAsia"/>
          <w:sz w:val="36"/>
          <w:szCs w:val="24"/>
        </w:rPr>
      </w:pPr>
      <w:bookmarkStart w:id="78" w:name="_Toc25756"/>
      <w:r>
        <w:rPr>
          <w:rFonts w:hint="eastAsia"/>
          <w:sz w:val="36"/>
          <w:szCs w:val="24"/>
        </w:rPr>
        <w:t>预案解释权属</w:t>
      </w:r>
      <w:bookmarkEnd w:id="78"/>
    </w:p>
    <w:p>
      <w:pPr>
        <w:spacing w:beforeLines="0" w:afterLines="0"/>
        <w:rPr>
          <w:rFonts w:hint="eastAsia"/>
          <w:sz w:val="28"/>
          <w:szCs w:val="24"/>
        </w:rPr>
      </w:pPr>
      <w:r>
        <w:rPr>
          <w:rFonts w:hint="eastAsia"/>
          <w:sz w:val="28"/>
          <w:szCs w:val="24"/>
        </w:rPr>
        <w:t>本预案由上饶市铅山生态环境局组织编制，并由其进行解释。</w:t>
      </w:r>
    </w:p>
    <w:p>
      <w:pPr>
        <w:pStyle w:val="5"/>
        <w:spacing w:beforeLines="0" w:afterLines="0"/>
        <w:rPr>
          <w:rFonts w:hint="eastAsia"/>
          <w:sz w:val="36"/>
          <w:szCs w:val="24"/>
        </w:rPr>
      </w:pPr>
      <w:bookmarkStart w:id="79" w:name="_Toc26472"/>
      <w:r>
        <w:rPr>
          <w:rFonts w:hint="eastAsia"/>
          <w:sz w:val="36"/>
          <w:szCs w:val="24"/>
        </w:rPr>
        <w:t>预案管理</w:t>
      </w:r>
      <w:bookmarkEnd w:id="79"/>
    </w:p>
    <w:p>
      <w:pPr>
        <w:spacing w:beforeLines="0" w:afterLines="0"/>
        <w:rPr>
          <w:rFonts w:hint="eastAsia"/>
          <w:sz w:val="28"/>
          <w:szCs w:val="24"/>
        </w:rPr>
      </w:pPr>
      <w:r>
        <w:rPr>
          <w:rFonts w:hint="eastAsia"/>
          <w:sz w:val="28"/>
          <w:szCs w:val="24"/>
        </w:rPr>
        <w:t>上饶市铅山生态环境负责对本预案的编制、评估、发布、备案、实施、修订、宣教、培训和演练等活动进行管理。</w:t>
      </w:r>
    </w:p>
    <w:p>
      <w:pPr>
        <w:spacing w:beforeLines="0" w:afterLines="0"/>
        <w:rPr>
          <w:rFonts w:hint="eastAsia"/>
          <w:sz w:val="28"/>
          <w:szCs w:val="24"/>
        </w:rPr>
      </w:pPr>
      <w:r>
        <w:rPr>
          <w:rFonts w:hint="eastAsia"/>
          <w:sz w:val="28"/>
          <w:szCs w:val="24"/>
        </w:rPr>
        <w:t>管理重点：预案的可操作性；定期举办预案应急演练；并根据本县经济社会发展情况和相关法律法规要求，及时组织修订、更新，并报县政府批准执行。</w:t>
      </w:r>
    </w:p>
    <w:p>
      <w:pPr>
        <w:pStyle w:val="5"/>
        <w:spacing w:beforeLines="0" w:afterLines="0"/>
        <w:rPr>
          <w:rFonts w:hint="eastAsia"/>
          <w:sz w:val="36"/>
          <w:szCs w:val="24"/>
        </w:rPr>
      </w:pPr>
      <w:bookmarkStart w:id="80" w:name="_Toc17692"/>
      <w:r>
        <w:rPr>
          <w:rFonts w:hint="eastAsia"/>
          <w:sz w:val="36"/>
          <w:szCs w:val="24"/>
        </w:rPr>
        <w:t>预案宣传培训</w:t>
      </w:r>
      <w:bookmarkEnd w:id="80"/>
    </w:p>
    <w:p>
      <w:pPr>
        <w:spacing w:beforeLines="0" w:afterLines="0"/>
        <w:rPr>
          <w:rFonts w:hint="eastAsia"/>
          <w:sz w:val="28"/>
          <w:szCs w:val="24"/>
        </w:rPr>
      </w:pPr>
      <w:r>
        <w:rPr>
          <w:rFonts w:hint="eastAsia"/>
          <w:sz w:val="28"/>
          <w:szCs w:val="24"/>
        </w:rPr>
        <w:t>由县委宣传部牵头充分利用广播、电视、报纸、互联网、手册等多种形式广泛开展饮用水水源地突发环境事件应急法律法规和预防、处理、自救、互救、减灾等常识，提高危险品生产、使用、运输、仓储单位的危机意识和应急心理准备，培养公众对饮用水源地的爱护意识。</w:t>
      </w:r>
    </w:p>
    <w:p>
      <w:pPr>
        <w:spacing w:beforeLines="0" w:afterLines="0"/>
        <w:rPr>
          <w:rFonts w:hint="eastAsia"/>
          <w:sz w:val="28"/>
          <w:szCs w:val="24"/>
        </w:rPr>
      </w:pPr>
      <w:r>
        <w:rPr>
          <w:rFonts w:hint="eastAsia"/>
          <w:sz w:val="28"/>
          <w:szCs w:val="24"/>
        </w:rPr>
        <w:t>培训的对象包括主要伦潭水库水源地内企业安全环保负责人、伦潭水库管理人员、突发环境事件应急小组成员单位及相关乡镇政府代表。</w:t>
      </w:r>
    </w:p>
    <w:p>
      <w:pPr>
        <w:pStyle w:val="5"/>
        <w:spacing w:beforeLines="0" w:afterLines="0"/>
        <w:rPr>
          <w:rFonts w:hint="eastAsia"/>
          <w:sz w:val="36"/>
          <w:szCs w:val="24"/>
        </w:rPr>
      </w:pPr>
      <w:bookmarkStart w:id="81" w:name="_Toc29669"/>
      <w:r>
        <w:rPr>
          <w:rFonts w:hint="eastAsia"/>
          <w:sz w:val="36"/>
          <w:szCs w:val="24"/>
        </w:rPr>
        <w:t>预案演练和修订</w:t>
      </w:r>
      <w:bookmarkEnd w:id="81"/>
    </w:p>
    <w:p>
      <w:pPr>
        <w:pStyle w:val="6"/>
        <w:spacing w:beforeLines="0" w:afterLines="0"/>
        <w:rPr>
          <w:rFonts w:hint="eastAsia"/>
          <w:sz w:val="32"/>
          <w:szCs w:val="24"/>
        </w:rPr>
      </w:pPr>
      <w:bookmarkStart w:id="82" w:name="_Toc24905"/>
      <w:r>
        <w:rPr>
          <w:rFonts w:hint="eastAsia"/>
          <w:sz w:val="32"/>
          <w:szCs w:val="24"/>
        </w:rPr>
        <w:t>预案演练</w:t>
      </w:r>
      <w:bookmarkEnd w:id="82"/>
    </w:p>
    <w:p>
      <w:pPr>
        <w:spacing w:beforeLines="0" w:afterLines="0"/>
        <w:rPr>
          <w:rFonts w:hint="eastAsia"/>
          <w:sz w:val="28"/>
          <w:szCs w:val="24"/>
        </w:rPr>
      </w:pPr>
      <w:r>
        <w:rPr>
          <w:rFonts w:hint="eastAsia"/>
          <w:sz w:val="28"/>
          <w:szCs w:val="24"/>
        </w:rPr>
        <w:t>（1）应急预案演练的组织</w:t>
      </w:r>
    </w:p>
    <w:p>
      <w:pPr>
        <w:spacing w:beforeLines="0" w:afterLines="0"/>
        <w:rPr>
          <w:rFonts w:hint="eastAsia"/>
          <w:sz w:val="28"/>
          <w:szCs w:val="24"/>
        </w:rPr>
      </w:pPr>
      <w:r>
        <w:rPr>
          <w:rFonts w:hint="eastAsia"/>
          <w:sz w:val="28"/>
          <w:szCs w:val="24"/>
        </w:rPr>
        <w:t>铅山县伦潭水库饮用水水源地突发环境事件应急实战演练由铅山县政府牵头，由上饶市铅山生态环境局定期组织，由伦潭水库饮用水水源地应急工作组成员单位组成，共同参与应急演练。以期实现提高各部门应急救援队伍的应急处置能力，加强部门间应急联动和协作。</w:t>
      </w:r>
    </w:p>
    <w:p>
      <w:pPr>
        <w:spacing w:beforeLines="0" w:afterLines="0"/>
        <w:rPr>
          <w:rFonts w:hint="eastAsia"/>
          <w:sz w:val="28"/>
          <w:szCs w:val="24"/>
        </w:rPr>
      </w:pPr>
      <w:r>
        <w:rPr>
          <w:rFonts w:hint="eastAsia"/>
          <w:sz w:val="28"/>
          <w:szCs w:val="24"/>
        </w:rPr>
        <w:t>（2）应急预案演练内容</w:t>
      </w:r>
    </w:p>
    <w:p>
      <w:pPr>
        <w:spacing w:beforeLines="0" w:afterLines="0"/>
        <w:rPr>
          <w:rFonts w:hint="eastAsia"/>
          <w:sz w:val="28"/>
          <w:szCs w:val="24"/>
        </w:rPr>
      </w:pPr>
      <w:r>
        <w:rPr>
          <w:rFonts w:hint="eastAsia"/>
          <w:sz w:val="28"/>
          <w:szCs w:val="24"/>
        </w:rPr>
        <w:t>根据铅山县伦潭水库饮用水水源地潜在的事故风险，演练的内容可包括：危险化学品运输车辆发生交通事故污染水源地应急演练、人为投毒污染水源应急演练、水华灾害污染水源地应急演练等。</w:t>
      </w:r>
    </w:p>
    <w:p>
      <w:pPr>
        <w:spacing w:beforeLines="0" w:afterLines="0"/>
        <w:rPr>
          <w:rFonts w:hint="eastAsia"/>
          <w:sz w:val="28"/>
          <w:szCs w:val="24"/>
        </w:rPr>
      </w:pPr>
      <w:r>
        <w:rPr>
          <w:rFonts w:hint="eastAsia"/>
          <w:sz w:val="28"/>
          <w:szCs w:val="24"/>
        </w:rPr>
        <w:t>（3）应急预案演练注意事项</w:t>
      </w:r>
    </w:p>
    <w:p>
      <w:pPr>
        <w:spacing w:beforeLines="0" w:afterLines="0"/>
        <w:rPr>
          <w:rFonts w:hint="eastAsia"/>
          <w:sz w:val="28"/>
          <w:szCs w:val="24"/>
        </w:rPr>
      </w:pPr>
      <w:r>
        <w:rPr>
          <w:rFonts w:hint="eastAsia"/>
          <w:sz w:val="28"/>
          <w:szCs w:val="24"/>
        </w:rPr>
        <w:t>通过演练观察识别出应急准备缺陷，查出需要整改项；根据演练结果对应急预案不足部分，进行修订。应急演练中必须特别注意以下几个主要问题：</w:t>
      </w:r>
    </w:p>
    <w:p>
      <w:pPr>
        <w:spacing w:beforeLines="0" w:afterLines="0"/>
        <w:rPr>
          <w:rFonts w:hint="eastAsia"/>
          <w:sz w:val="28"/>
          <w:szCs w:val="24"/>
        </w:rPr>
      </w:pPr>
      <w:r>
        <w:rPr>
          <w:rFonts w:hint="eastAsia" w:ascii="楷体" w:hAnsi="楷体"/>
          <w:sz w:val="28"/>
          <w:szCs w:val="24"/>
        </w:rPr>
        <w:t>①</w:t>
      </w:r>
      <w:r>
        <w:rPr>
          <w:rFonts w:hint="eastAsia"/>
          <w:sz w:val="28"/>
          <w:szCs w:val="24"/>
        </w:rPr>
        <w:t>演练过程应尽可能模仿可能事故的真实情况，但不能采用真正的危险状态进行演练，以避免不必要的伤亡；</w:t>
      </w:r>
    </w:p>
    <w:p>
      <w:pPr>
        <w:spacing w:beforeLines="0" w:afterLines="0"/>
        <w:rPr>
          <w:rFonts w:hint="eastAsia"/>
          <w:sz w:val="28"/>
          <w:szCs w:val="24"/>
        </w:rPr>
      </w:pPr>
      <w:r>
        <w:rPr>
          <w:rFonts w:hint="eastAsia" w:ascii="楷体" w:hAnsi="楷体"/>
          <w:sz w:val="28"/>
          <w:szCs w:val="24"/>
        </w:rPr>
        <w:t>②</w:t>
      </w:r>
      <w:r>
        <w:rPr>
          <w:rFonts w:hint="eastAsia"/>
          <w:sz w:val="28"/>
          <w:szCs w:val="24"/>
        </w:rPr>
        <w:t>演练之前应对演练情况进行周密的方案策划，编写场景说明书是方案策划的重要内容；</w:t>
      </w:r>
    </w:p>
    <w:p>
      <w:pPr>
        <w:spacing w:beforeLines="0" w:afterLines="0"/>
        <w:rPr>
          <w:rFonts w:hint="eastAsia"/>
          <w:sz w:val="28"/>
          <w:szCs w:val="24"/>
        </w:rPr>
      </w:pPr>
      <w:r>
        <w:rPr>
          <w:rFonts w:hint="eastAsia" w:ascii="楷体" w:hAnsi="楷体"/>
          <w:sz w:val="28"/>
          <w:szCs w:val="24"/>
        </w:rPr>
        <w:t>③</w:t>
      </w:r>
      <w:r>
        <w:rPr>
          <w:rFonts w:hint="eastAsia"/>
          <w:sz w:val="28"/>
          <w:szCs w:val="24"/>
        </w:rPr>
        <w:t>演练前应对有关人员进行必要培训，但不应将演练的场景介绍给应急响应人员；</w:t>
      </w:r>
    </w:p>
    <w:p>
      <w:pPr>
        <w:spacing w:beforeLines="0" w:afterLines="0"/>
        <w:rPr>
          <w:rFonts w:hint="eastAsia"/>
          <w:sz w:val="28"/>
          <w:szCs w:val="24"/>
        </w:rPr>
      </w:pPr>
      <w:r>
        <w:rPr>
          <w:rFonts w:hint="eastAsia" w:ascii="楷体" w:hAnsi="楷体"/>
          <w:sz w:val="28"/>
          <w:szCs w:val="24"/>
        </w:rPr>
        <w:t>④</w:t>
      </w:r>
      <w:r>
        <w:rPr>
          <w:rFonts w:hint="eastAsia"/>
          <w:sz w:val="28"/>
          <w:szCs w:val="24"/>
        </w:rPr>
        <w:t>演练结束后应认真总结经验教训和整改。</w:t>
      </w:r>
    </w:p>
    <w:p>
      <w:pPr>
        <w:pStyle w:val="6"/>
        <w:spacing w:beforeLines="0" w:afterLines="0"/>
        <w:rPr>
          <w:rFonts w:hint="eastAsia"/>
          <w:sz w:val="32"/>
          <w:szCs w:val="24"/>
        </w:rPr>
      </w:pPr>
      <w:bookmarkStart w:id="83" w:name="_Toc30609"/>
      <w:r>
        <w:rPr>
          <w:rFonts w:hint="eastAsia"/>
          <w:sz w:val="32"/>
          <w:szCs w:val="24"/>
        </w:rPr>
        <w:t>预案修订</w:t>
      </w:r>
      <w:bookmarkEnd w:id="83"/>
    </w:p>
    <w:p>
      <w:pPr>
        <w:spacing w:beforeLines="0" w:afterLines="0"/>
        <w:rPr>
          <w:rFonts w:hint="eastAsia"/>
          <w:sz w:val="28"/>
          <w:szCs w:val="24"/>
        </w:rPr>
      </w:pPr>
      <w:r>
        <w:rPr>
          <w:rFonts w:hint="eastAsia"/>
          <w:sz w:val="28"/>
          <w:szCs w:val="24"/>
        </w:rPr>
        <w:t>根据《突发事件应急预案管理办法》（国办发〔2013〕101号）第二十五条规定，有下列情形之一的，应当及时修订应急预案：</w:t>
      </w:r>
    </w:p>
    <w:p>
      <w:pPr>
        <w:spacing w:beforeLines="0" w:afterLines="0"/>
        <w:rPr>
          <w:rFonts w:hint="eastAsia"/>
          <w:sz w:val="28"/>
          <w:szCs w:val="24"/>
        </w:rPr>
      </w:pPr>
      <w:r>
        <w:rPr>
          <w:rFonts w:hint="eastAsia"/>
          <w:sz w:val="28"/>
          <w:szCs w:val="24"/>
        </w:rPr>
        <w:t>（一）有关法律、行政法规、规章、标准、上位预案中的有关规定发生变化的；</w:t>
      </w:r>
    </w:p>
    <w:p>
      <w:pPr>
        <w:spacing w:beforeLines="0" w:afterLines="0"/>
        <w:rPr>
          <w:rFonts w:hint="eastAsia"/>
          <w:sz w:val="28"/>
          <w:szCs w:val="24"/>
        </w:rPr>
      </w:pPr>
      <w:r>
        <w:rPr>
          <w:rFonts w:hint="eastAsia"/>
          <w:sz w:val="28"/>
          <w:szCs w:val="24"/>
        </w:rPr>
        <w:t>（二）应急指挥机构及其职责发生重大调整的；</w:t>
      </w:r>
    </w:p>
    <w:p>
      <w:pPr>
        <w:spacing w:beforeLines="0" w:afterLines="0"/>
        <w:rPr>
          <w:rFonts w:hint="eastAsia"/>
          <w:sz w:val="28"/>
          <w:szCs w:val="24"/>
        </w:rPr>
      </w:pPr>
      <w:r>
        <w:rPr>
          <w:rFonts w:hint="eastAsia"/>
          <w:sz w:val="28"/>
          <w:szCs w:val="24"/>
        </w:rPr>
        <w:t>（三）面临的风险发生重大变化的；</w:t>
      </w:r>
    </w:p>
    <w:p>
      <w:pPr>
        <w:spacing w:beforeLines="0" w:afterLines="0"/>
        <w:rPr>
          <w:rFonts w:hint="eastAsia"/>
          <w:sz w:val="28"/>
          <w:szCs w:val="24"/>
        </w:rPr>
      </w:pPr>
      <w:r>
        <w:rPr>
          <w:rFonts w:hint="eastAsia"/>
          <w:sz w:val="28"/>
          <w:szCs w:val="24"/>
        </w:rPr>
        <w:t>（四）重要应急资源发生重大变化的；</w:t>
      </w:r>
    </w:p>
    <w:p>
      <w:pPr>
        <w:spacing w:beforeLines="0" w:afterLines="0"/>
        <w:rPr>
          <w:rFonts w:hint="eastAsia"/>
          <w:sz w:val="28"/>
          <w:szCs w:val="24"/>
        </w:rPr>
      </w:pPr>
      <w:r>
        <w:rPr>
          <w:rFonts w:hint="eastAsia"/>
          <w:sz w:val="28"/>
          <w:szCs w:val="24"/>
        </w:rPr>
        <w:t>（五）预案中的其他重要信息发生变化的；</w:t>
      </w:r>
    </w:p>
    <w:p>
      <w:pPr>
        <w:spacing w:beforeLines="0" w:afterLines="0"/>
        <w:rPr>
          <w:rFonts w:hint="eastAsia"/>
          <w:sz w:val="28"/>
          <w:szCs w:val="24"/>
        </w:rPr>
      </w:pPr>
      <w:r>
        <w:rPr>
          <w:rFonts w:hint="eastAsia"/>
          <w:sz w:val="28"/>
          <w:szCs w:val="24"/>
        </w:rPr>
        <w:t>（六）在突发事件实际应对和应急演练中发现问题需要作出重大调整的；</w:t>
      </w:r>
    </w:p>
    <w:p>
      <w:pPr>
        <w:spacing w:beforeLines="0" w:afterLines="0"/>
        <w:rPr>
          <w:rFonts w:hint="eastAsia"/>
          <w:sz w:val="28"/>
          <w:szCs w:val="24"/>
        </w:rPr>
      </w:pPr>
      <w:r>
        <w:rPr>
          <w:rFonts w:hint="eastAsia"/>
          <w:sz w:val="28"/>
          <w:szCs w:val="24"/>
        </w:rPr>
        <w:t>（七）水源保护区范围发生变化的；</w:t>
      </w:r>
    </w:p>
    <w:p>
      <w:pPr>
        <w:spacing w:beforeLines="0" w:afterLines="0"/>
        <w:rPr>
          <w:rFonts w:hint="eastAsia"/>
          <w:sz w:val="28"/>
          <w:szCs w:val="24"/>
        </w:rPr>
      </w:pPr>
      <w:r>
        <w:rPr>
          <w:rFonts w:hint="eastAsia"/>
          <w:sz w:val="28"/>
          <w:szCs w:val="24"/>
        </w:rPr>
        <w:t>（八）上饶市铅山生态环境局或上级部门认为应当修订的其他情况。</w:t>
      </w:r>
    </w:p>
    <w:p>
      <w:pPr>
        <w:spacing w:beforeLines="0" w:afterLines="0"/>
        <w:rPr>
          <w:rFonts w:hint="eastAsia"/>
          <w:sz w:val="28"/>
          <w:szCs w:val="24"/>
        </w:rPr>
      </w:pPr>
      <w:r>
        <w:rPr>
          <w:rFonts w:hint="eastAsia"/>
          <w:sz w:val="28"/>
          <w:szCs w:val="24"/>
        </w:rPr>
        <w:t>上饶市铅山生态环境局负责对本预案进行维护，根据实际需要和情势变化，依据有关预案编制指南或者编制框架指南对铅山县县级饮用水水源地突发环境事件应急预案进行修订，必要时对本预案进行修订。</w:t>
      </w:r>
    </w:p>
    <w:p>
      <w:pPr>
        <w:spacing w:beforeLines="0" w:afterLines="0"/>
        <w:rPr>
          <w:rFonts w:hint="eastAsia"/>
          <w:sz w:val="28"/>
          <w:szCs w:val="24"/>
        </w:rPr>
      </w:pPr>
      <w:r>
        <w:rPr>
          <w:rFonts w:hint="eastAsia"/>
          <w:sz w:val="28"/>
          <w:szCs w:val="24"/>
        </w:rPr>
        <w:t>修订工作的主要内容是在应急组织机构或联系方式等基本情况或主要风险源情况发生变化，应急物资品种、数量、布局等发生局部变化时，对本预案相关内容及时进行更新，并及时报送铅山县人民政府。</w:t>
      </w:r>
    </w:p>
    <w:p>
      <w:pPr>
        <w:pStyle w:val="5"/>
        <w:spacing w:beforeLines="0" w:afterLines="0"/>
        <w:rPr>
          <w:rFonts w:hint="eastAsia"/>
          <w:sz w:val="36"/>
          <w:szCs w:val="24"/>
        </w:rPr>
      </w:pPr>
      <w:bookmarkStart w:id="84" w:name="_Toc30290"/>
      <w:r>
        <w:rPr>
          <w:rFonts w:hint="eastAsia"/>
          <w:sz w:val="36"/>
          <w:szCs w:val="24"/>
        </w:rPr>
        <w:t>预案实施日期</w:t>
      </w:r>
      <w:bookmarkEnd w:id="84"/>
    </w:p>
    <w:p>
      <w:pPr>
        <w:spacing w:beforeLines="0" w:afterLines="0"/>
        <w:rPr>
          <w:rFonts w:hint="eastAsia"/>
          <w:sz w:val="28"/>
          <w:szCs w:val="24"/>
        </w:rPr>
      </w:pPr>
      <w:r>
        <w:rPr>
          <w:rFonts w:hint="eastAsia"/>
          <w:sz w:val="28"/>
          <w:szCs w:val="24"/>
        </w:rPr>
        <w:t>本预案自铅山县人民政府批准下达后实施。</w:t>
      </w:r>
    </w:p>
    <w:p>
      <w:pPr>
        <w:pStyle w:val="9"/>
        <w:spacing w:beforeLines="0" w:afterLines="0"/>
        <w:rPr>
          <w:rFonts w:hint="eastAsia"/>
          <w:sz w:val="21"/>
          <w:szCs w:val="24"/>
        </w:rPr>
      </w:pPr>
    </w:p>
    <w:p>
      <w:pPr>
        <w:snapToGrid w:val="0"/>
        <w:spacing w:beforeLines="0" w:afterLines="0" w:line="600" w:lineRule="exact"/>
        <w:ind w:firstLine="0" w:firstLineChars="0"/>
        <w:rPr>
          <w:rFonts w:hint="eastAsia" w:ascii="仿宋" w:hAnsi="仿宋" w:eastAsia="仿宋"/>
          <w:sz w:val="28"/>
          <w:szCs w:val="24"/>
          <w:u w:val="single"/>
        </w:rPr>
      </w:pPr>
    </w:p>
    <w:p>
      <w:pPr>
        <w:snapToGrid w:val="0"/>
        <w:spacing w:beforeLines="0" w:afterLines="0" w:line="600" w:lineRule="exact"/>
        <w:ind w:firstLine="0" w:firstLineChars="0"/>
        <w:rPr>
          <w:rFonts w:hint="eastAsia" w:ascii="仿宋" w:hAnsi="仿宋" w:eastAsia="仿宋"/>
          <w:sz w:val="28"/>
          <w:szCs w:val="24"/>
          <w:u w:val="single"/>
        </w:rPr>
      </w:pPr>
    </w:p>
    <w:p>
      <w:pPr>
        <w:spacing w:beforeLines="0" w:afterLines="0" w:line="420" w:lineRule="exact"/>
        <w:ind w:firstLine="0" w:firstLineChars="0"/>
        <w:rPr>
          <w:rFonts w:hint="eastAsia" w:ascii="仿宋_GB2312" w:hAnsi="仿宋_GB2312" w:eastAsia="仿宋_GB2312"/>
          <w:sz w:val="28"/>
          <w:szCs w:val="24"/>
          <w:u w:val="thick"/>
        </w:rPr>
      </w:pPr>
      <w:r>
        <w:rPr>
          <w:rFonts w:hint="eastAsia" w:ascii="仿宋_GB2312" w:hAnsi="仿宋_GB2312" w:eastAsia="仿宋_GB2312"/>
          <w:sz w:val="28"/>
          <w:szCs w:val="24"/>
          <w:u w:val="thick"/>
        </w:rPr>
        <w:t xml:space="preserve">                                                                    </w:t>
      </w:r>
    </w:p>
    <w:p>
      <w:pPr>
        <w:spacing w:beforeLines="0" w:afterLines="0" w:line="420" w:lineRule="exact"/>
        <w:ind w:firstLine="0" w:firstLineChars="0"/>
        <w:rPr>
          <w:rFonts w:hint="eastAsia"/>
          <w:sz w:val="28"/>
          <w:szCs w:val="24"/>
        </w:rPr>
      </w:pPr>
      <w:r>
        <w:rPr>
          <w:rFonts w:hint="eastAsia" w:ascii="仿宋_GB2312" w:hAnsi="仿宋_GB2312" w:eastAsia="仿宋_GB2312"/>
          <w:sz w:val="28"/>
          <w:szCs w:val="24"/>
          <w:u w:val="thick" w:color="auto"/>
        </w:rPr>
        <w:t xml:space="preserve">  铅山县人民政府办公室秘书股              20</w:t>
      </w:r>
      <w:r>
        <w:rPr>
          <w:rFonts w:hint="eastAsia" w:ascii="仿宋_GB2312" w:hAnsi="仿宋_GB2312" w:eastAsia="仿宋_GB2312"/>
          <w:sz w:val="28"/>
          <w:szCs w:val="24"/>
          <w:u w:val="thick" w:color="auto"/>
          <w:lang w:val="en"/>
        </w:rPr>
        <w:t>23</w:t>
      </w:r>
      <w:r>
        <w:rPr>
          <w:rFonts w:hint="eastAsia" w:ascii="仿宋_GB2312" w:hAnsi="仿宋_GB2312" w:eastAsia="仿宋_GB2312"/>
          <w:sz w:val="28"/>
          <w:szCs w:val="24"/>
          <w:u w:val="thick" w:color="auto"/>
        </w:rPr>
        <w:t xml:space="preserve">年3月15日印发        </w:t>
      </w:r>
    </w:p>
    <w:p>
      <w:pPr>
        <w:pStyle w:val="17"/>
        <w:rPr>
          <w:rFonts w:hint="default"/>
          <w:lang w:val="en-US" w:eastAsia="zh-CN"/>
        </w:rPr>
      </w:pPr>
    </w:p>
    <w:p>
      <w:pPr>
        <w:keepNext w:val="0"/>
        <w:keepLines w:val="0"/>
        <w:pageBreakBefore w:val="0"/>
        <w:widowControl w:val="0"/>
        <w:kinsoku/>
        <w:wordWrap/>
        <w:overflowPunct/>
        <w:topLinePunct w:val="0"/>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铅山县城区城市生活垃圾处理费</w:t>
      </w:r>
    </w:p>
    <w:p>
      <w:pPr>
        <w:keepNext w:val="0"/>
        <w:keepLines w:val="0"/>
        <w:pageBreakBefore w:val="0"/>
        <w:widowControl w:val="0"/>
        <w:kinsoku/>
        <w:wordWrap/>
        <w:overflowPunct/>
        <w:topLinePunct w:val="0"/>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收费使用管理办法</w:t>
      </w:r>
    </w:p>
    <w:p>
      <w:pPr>
        <w:keepNext w:val="0"/>
        <w:keepLines w:val="0"/>
        <w:pageBreakBefore w:val="0"/>
        <w:widowControl w:val="0"/>
        <w:kinsoku/>
        <w:wordWrap/>
        <w:overflowPunct/>
        <w:topLinePunct w:val="0"/>
        <w:autoSpaceDN/>
        <w:bidi w:val="0"/>
        <w:adjustRightInd/>
        <w:snapToGrid/>
        <w:spacing w:line="560" w:lineRule="exact"/>
        <w:textAlignment w:val="auto"/>
        <w:rPr>
          <w:rFonts w:hint="default"/>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both"/>
        <w:textAlignment w:val="auto"/>
        <w:rPr>
          <w:rFonts w:ascii="宋体" w:hAnsi="宋体" w:cs="宋体"/>
          <w:color w:val="000000"/>
          <w:kern w:val="0"/>
          <w:sz w:val="32"/>
          <w:szCs w:val="32"/>
        </w:rPr>
      </w:pPr>
      <w:r>
        <w:rPr>
          <w:rFonts w:ascii="黑体" w:hAnsi="宋体" w:eastAsia="黑体" w:cs="黑体"/>
          <w:b/>
          <w:bCs/>
          <w:color w:val="000000"/>
          <w:kern w:val="0"/>
          <w:sz w:val="32"/>
          <w:szCs w:val="32"/>
          <w:lang w:val="en-US" w:eastAsia="zh-CN" w:bidi="ar"/>
        </w:rPr>
        <w:t>第一条</w:t>
      </w:r>
      <w:r>
        <w:rPr>
          <w:rFonts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为加快城市生活垃圾处理产业化步伐，提高垃圾处理质量，改善城市生态环境，促进可持续发展，根</w:t>
      </w:r>
      <w:r>
        <w:rPr>
          <w:rFonts w:hint="eastAsia" w:ascii="仿宋_GB2312" w:hAnsi="仿宋_GB2312" w:eastAsia="仿宋_GB2312" w:cs="仿宋_GB2312"/>
          <w:color w:val="333333"/>
          <w:kern w:val="0"/>
          <w:sz w:val="32"/>
          <w:szCs w:val="32"/>
        </w:rPr>
        <w:t>据</w:t>
      </w:r>
      <w:r>
        <w:rPr>
          <w:rFonts w:hint="eastAsia" w:ascii="仿宋_GB2312" w:hAnsi="仿宋_GB2312" w:eastAsia="仿宋_GB2312" w:cs="仿宋_GB2312"/>
          <w:color w:val="333333"/>
          <w:kern w:val="0"/>
          <w:sz w:val="32"/>
          <w:szCs w:val="32"/>
          <w:lang w:eastAsia="zh-CN"/>
        </w:rPr>
        <w:t>《城市生活垃圾管理办法》（中华人民共和国建设部令第</w:t>
      </w:r>
      <w:r>
        <w:rPr>
          <w:rFonts w:hint="eastAsia" w:ascii="仿宋_GB2312" w:hAnsi="仿宋_GB2312" w:eastAsia="仿宋_GB2312" w:cs="仿宋_GB2312"/>
          <w:color w:val="333333"/>
          <w:kern w:val="0"/>
          <w:sz w:val="32"/>
          <w:szCs w:val="32"/>
          <w:lang w:val="en-US" w:eastAsia="zh-CN"/>
        </w:rPr>
        <w:t>157号</w:t>
      </w:r>
      <w:r>
        <w:rPr>
          <w:rFonts w:hint="eastAsia" w:ascii="仿宋_GB2312" w:hAnsi="仿宋_GB2312" w:eastAsia="仿宋_GB2312" w:cs="仿宋_GB2312"/>
          <w:color w:val="333333"/>
          <w:kern w:val="0"/>
          <w:sz w:val="32"/>
          <w:szCs w:val="32"/>
          <w:lang w:eastAsia="zh-CN"/>
        </w:rPr>
        <w:t>）、</w:t>
      </w:r>
      <w:r>
        <w:rPr>
          <w:rFonts w:hint="eastAsia" w:ascii="仿宋_GB2312" w:hAnsi="仿宋_GB2312" w:eastAsia="仿宋_GB2312" w:cs="仿宋_GB2312"/>
          <w:color w:val="000000"/>
          <w:kern w:val="0"/>
          <w:sz w:val="32"/>
          <w:szCs w:val="32"/>
          <w:lang w:val="en-US" w:eastAsia="zh-CN" w:bidi="ar"/>
        </w:rPr>
        <w:t>《国务院批转住房城乡建设部等部门关于进一步加强城市生活垃圾处理工作的意见》（国发〔2011〕9号）和《国家发展计划委员会 财政部 建设部 国家环境保护总局关于实行城市生活垃圾收费制度促进垃圾处理产业化的通知》（计价格〔2002〕872号）</w:t>
      </w:r>
      <w:r>
        <w:rPr>
          <w:rFonts w:hint="eastAsia" w:ascii="仿宋_GB2312" w:hAnsi="仿宋_GB2312" w:eastAsia="仿宋_GB2312" w:cs="仿宋_GB2312"/>
          <w:color w:val="333333"/>
          <w:kern w:val="0"/>
          <w:sz w:val="32"/>
          <w:szCs w:val="32"/>
          <w:lang w:eastAsia="zh-CN"/>
        </w:rPr>
        <w:t>、</w:t>
      </w:r>
      <w:r>
        <w:rPr>
          <w:rFonts w:hint="eastAsia" w:ascii="仿宋_GB2312" w:hAnsi="仿宋_GB2312" w:eastAsia="仿宋_GB2312" w:cs="仿宋_GB2312"/>
          <w:color w:val="000000"/>
          <w:kern w:val="0"/>
          <w:sz w:val="32"/>
          <w:szCs w:val="32"/>
          <w:lang w:val="en-US" w:eastAsia="zh-CN" w:bidi="ar"/>
        </w:rPr>
        <w:t>《江西省政府定价经营服务性收费目录清单》等</w:t>
      </w:r>
      <w:r>
        <w:rPr>
          <w:rFonts w:hint="eastAsia" w:ascii="仿宋_GB2312" w:hAnsi="仿宋_GB2312" w:eastAsia="仿宋_GB2312" w:cs="仿宋_GB2312"/>
          <w:sz w:val="32"/>
          <w:szCs w:val="40"/>
          <w:lang w:eastAsia="zh-CN"/>
        </w:rPr>
        <w:t>文件精神，</w:t>
      </w:r>
      <w:r>
        <w:rPr>
          <w:rFonts w:hint="eastAsia" w:ascii="仿宋_GB2312" w:hAnsi="仿宋_GB2312" w:eastAsia="仿宋_GB2312" w:cs="仿宋_GB2312"/>
          <w:color w:val="333333"/>
          <w:kern w:val="0"/>
          <w:sz w:val="32"/>
          <w:szCs w:val="32"/>
          <w:lang w:eastAsia="zh-CN"/>
        </w:rPr>
        <w:t>结合本县实际，</w:t>
      </w:r>
      <w:r>
        <w:rPr>
          <w:rFonts w:hint="eastAsia" w:ascii="仿宋_GB2312" w:hAnsi="仿宋_GB2312" w:eastAsia="仿宋_GB2312" w:cs="仿宋_GB2312"/>
          <w:color w:val="auto"/>
          <w:kern w:val="0"/>
          <w:sz w:val="32"/>
          <w:szCs w:val="32"/>
          <w:lang w:eastAsia="zh-CN"/>
        </w:rPr>
        <w:t>制订</w:t>
      </w:r>
      <w:r>
        <w:rPr>
          <w:rFonts w:hint="eastAsia" w:ascii="仿宋_GB2312" w:hAnsi="仿宋_GB2312" w:eastAsia="仿宋_GB2312" w:cs="仿宋_GB2312"/>
          <w:color w:val="000000"/>
          <w:kern w:val="0"/>
          <w:sz w:val="32"/>
          <w:szCs w:val="32"/>
        </w:rPr>
        <w:t>本</w:t>
      </w:r>
      <w:r>
        <w:rPr>
          <w:rFonts w:hint="eastAsia" w:ascii="仿宋_GB2312" w:hAnsi="仿宋_GB2312" w:eastAsia="仿宋_GB2312" w:cs="仿宋_GB2312"/>
          <w:color w:val="000000"/>
          <w:kern w:val="0"/>
          <w:sz w:val="32"/>
          <w:szCs w:val="32"/>
          <w:lang w:eastAsia="zh-CN"/>
        </w:rPr>
        <w:t>管理办法</w:t>
      </w:r>
      <w:r>
        <w:rPr>
          <w:rFonts w:hint="eastAsia" w:ascii="仿宋_GB2312" w:hAnsi="仿宋_GB2312" w:eastAsia="仿宋_GB2312" w:cs="仿宋_GB2312"/>
          <w:color w:val="000000"/>
          <w:kern w:val="0"/>
          <w:sz w:val="32"/>
          <w:szCs w:val="32"/>
          <w:lang w:val="en-US" w:eastAsia="zh-CN" w:bidi="ar"/>
        </w:rPr>
        <w:t>（以下简称“办法”）。</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32"/>
        </w:rPr>
      </w:pPr>
      <w:r>
        <w:rPr>
          <w:rFonts w:hint="eastAsia" w:ascii="黑体" w:hAnsi="宋体" w:eastAsia="黑体" w:cs="黑体"/>
          <w:b/>
          <w:bCs/>
          <w:color w:val="000000"/>
          <w:kern w:val="0"/>
          <w:sz w:val="32"/>
          <w:szCs w:val="32"/>
          <w:lang w:val="en-US" w:eastAsia="zh-CN" w:bidi="ar"/>
        </w:rPr>
        <w:t>第二条</w:t>
      </w:r>
      <w:r>
        <w:rPr>
          <w:rFonts w:hint="eastAsia"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本办法所称</w:t>
      </w:r>
      <w:r>
        <w:rPr>
          <w:rFonts w:hint="eastAsia" w:ascii="仿宋_GB2312" w:hAnsi="仿宋_GB2312" w:eastAsia="仿宋_GB2312" w:cs="仿宋_GB2312"/>
          <w:strike w:val="0"/>
          <w:dstrike w:val="0"/>
          <w:color w:val="000000"/>
          <w:kern w:val="0"/>
          <w:sz w:val="32"/>
          <w:szCs w:val="32"/>
          <w:u w:val="none"/>
          <w:lang w:val="en-US" w:eastAsia="zh-CN" w:bidi="ar"/>
        </w:rPr>
        <w:t>城市</w:t>
      </w:r>
      <w:r>
        <w:rPr>
          <w:rFonts w:hint="eastAsia" w:ascii="仿宋_GB2312" w:hAnsi="仿宋_GB2312" w:eastAsia="仿宋_GB2312" w:cs="仿宋_GB2312"/>
          <w:color w:val="000000"/>
          <w:kern w:val="0"/>
          <w:sz w:val="32"/>
          <w:szCs w:val="32"/>
          <w:lang w:val="en-US" w:eastAsia="zh-CN" w:bidi="ar"/>
        </w:rPr>
        <w:t xml:space="preserve">生活垃圾（以下简称“生活垃圾”），是指城市人口在日常生活中产生或为城市日常生活提供服务的活动产生的固体废物，以及法律、行政法规规定，视为城市生活垃圾的固体废物（包括建筑渣土、不包括工业固体废物和危险废物）。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本办法所称城市生活垃圾处理费，是指前款规定生活垃圾的垃圾收集、垃圾中转运输、垃圾无害化处理费用等。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本办法中所称城区是指县城建成区。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color w:val="000000"/>
          <w:kern w:val="0"/>
          <w:sz w:val="32"/>
          <w:szCs w:val="32"/>
          <w:lang w:val="en-US" w:eastAsia="zh-CN" w:bidi="ar"/>
        </w:rPr>
      </w:pPr>
      <w:r>
        <w:rPr>
          <w:rFonts w:hint="eastAsia" w:ascii="黑体" w:hAnsi="宋体" w:eastAsia="黑体" w:cs="黑体"/>
          <w:b/>
          <w:bCs/>
          <w:color w:val="000000"/>
          <w:kern w:val="0"/>
          <w:sz w:val="32"/>
          <w:szCs w:val="32"/>
          <w:lang w:val="en-US" w:eastAsia="zh-CN" w:bidi="ar"/>
        </w:rPr>
        <w:t>第三条</w:t>
      </w:r>
      <w:r>
        <w:rPr>
          <w:rFonts w:hint="eastAsia"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auto"/>
          <w:kern w:val="0"/>
          <w:sz w:val="32"/>
          <w:szCs w:val="32"/>
          <w:lang w:val="en-US" w:eastAsia="zh-CN" w:bidi="ar"/>
        </w:rPr>
        <w:t>收费</w:t>
      </w:r>
      <w:r>
        <w:rPr>
          <w:rFonts w:hint="eastAsia" w:ascii="仿宋_GB2312" w:hAnsi="仿宋_GB2312" w:eastAsia="仿宋_GB2312" w:cs="仿宋_GB2312"/>
          <w:color w:val="000000"/>
          <w:kern w:val="0"/>
          <w:sz w:val="32"/>
          <w:szCs w:val="32"/>
          <w:lang w:val="en-US" w:eastAsia="zh-CN" w:bidi="ar"/>
        </w:rPr>
        <w:t>范围及对象</w:t>
      </w:r>
      <w:r>
        <w:rPr>
          <w:rFonts w:hint="eastAsia" w:ascii="仿宋" w:hAnsi="仿宋" w:eastAsia="仿宋" w:cs="仿宋"/>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一）凡在城区范围内产生生活垃圾的国家机关、企事业单位、个体经营者、社会团体、城市居民和城市暂住人口等（包括交通运输工具），均应依照本办法规定缴纳城市生活垃圾处理费（以下简称垃圾处理费）。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（二）收取生活垃圾处理费后，应取消与生活垃圾处理相关的其他收费项目，切实减轻单位和居民的不合理负担。已经实施物业管理收费的，在物业管理收费标准中应扣除已计入垃圾处理收费的相关费用。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color w:val="000000"/>
          <w:kern w:val="0"/>
          <w:sz w:val="32"/>
          <w:szCs w:val="32"/>
          <w:lang w:val="en-US" w:eastAsia="zh-CN" w:bidi="ar"/>
        </w:rPr>
      </w:pPr>
      <w:r>
        <w:rPr>
          <w:rFonts w:hint="eastAsia" w:ascii="黑体" w:hAnsi="宋体" w:eastAsia="黑体" w:cs="黑体"/>
          <w:b/>
          <w:bCs/>
          <w:color w:val="000000"/>
          <w:kern w:val="0"/>
          <w:sz w:val="32"/>
          <w:szCs w:val="32"/>
          <w:lang w:val="en-US" w:eastAsia="zh-CN" w:bidi="ar"/>
        </w:rPr>
        <w:t>第四条</w:t>
      </w:r>
      <w:r>
        <w:rPr>
          <w:rFonts w:hint="eastAsia" w:ascii="仿宋_GB2312" w:hAnsi="仿宋_GB2312" w:eastAsia="仿宋_GB2312" w:cs="仿宋_GB2312"/>
          <w:color w:val="000000"/>
          <w:kern w:val="0"/>
          <w:sz w:val="32"/>
          <w:szCs w:val="32"/>
          <w:lang w:val="en-US" w:eastAsia="zh-CN" w:bidi="ar"/>
        </w:rPr>
        <w:t xml:space="preserve"> 收费标准</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left"/>
        <w:textAlignment w:val="auto"/>
        <w:rPr>
          <w:b/>
          <w:bCs/>
          <w:sz w:val="32"/>
          <w:szCs w:val="32"/>
        </w:rPr>
      </w:pPr>
      <w:r>
        <w:rPr>
          <w:rFonts w:ascii="楷体_GB2312" w:hAnsi="楷体_GB2312" w:eastAsia="楷体_GB2312" w:cs="楷体_GB2312"/>
          <w:b/>
          <w:bCs/>
          <w:color w:val="000000"/>
          <w:kern w:val="0"/>
          <w:sz w:val="32"/>
          <w:szCs w:val="32"/>
          <w:lang w:val="en-US" w:eastAsia="zh-CN" w:bidi="ar"/>
        </w:rPr>
        <w:t>（一）</w:t>
      </w:r>
      <w:r>
        <w:rPr>
          <w:rFonts w:hint="eastAsia" w:ascii="楷体_GB2312" w:hAnsi="楷体_GB2312" w:eastAsia="楷体_GB2312" w:cs="楷体_GB2312"/>
          <w:b/>
          <w:bCs/>
          <w:color w:val="000000"/>
          <w:kern w:val="0"/>
          <w:sz w:val="32"/>
          <w:szCs w:val="32"/>
          <w:lang w:val="en-US" w:eastAsia="zh-CN" w:bidi="ar"/>
        </w:rPr>
        <w:t>居民</w:t>
      </w:r>
      <w:r>
        <w:rPr>
          <w:rFonts w:ascii="楷体_GB2312" w:hAnsi="楷体_GB2312" w:eastAsia="楷体_GB2312" w:cs="楷体_GB2312"/>
          <w:b/>
          <w:bCs/>
          <w:color w:val="000000"/>
          <w:kern w:val="0"/>
          <w:sz w:val="32"/>
          <w:szCs w:val="32"/>
          <w:lang w:val="en-US" w:eastAsia="zh-CN" w:bidi="ar"/>
        </w:rPr>
        <w:t xml:space="preserve">（含暂住户）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trike w:val="0"/>
          <w:dstrike w:val="0"/>
          <w:color w:val="000000"/>
          <w:kern w:val="0"/>
          <w:sz w:val="32"/>
          <w:szCs w:val="32"/>
          <w:lang w:val="en-US" w:eastAsia="zh-CN" w:bidi="ar"/>
        </w:rPr>
        <w:t>按</w:t>
      </w:r>
      <w:r>
        <w:rPr>
          <w:rFonts w:hint="eastAsia" w:ascii="仿宋_GB2312" w:hAnsi="仿宋_GB2312" w:eastAsia="仿宋_GB2312" w:cs="仿宋_GB2312"/>
          <w:color w:val="000000"/>
          <w:kern w:val="0"/>
          <w:sz w:val="32"/>
          <w:szCs w:val="32"/>
          <w:lang w:val="en-US" w:eastAsia="zh-CN" w:bidi="ar"/>
        </w:rPr>
        <w:t xml:space="preserve">每户每月3元收取。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left"/>
        <w:textAlignment w:val="auto"/>
        <w:rPr>
          <w:rFonts w:ascii="楷体_GB2312" w:hAnsi="楷体_GB2312" w:eastAsia="楷体_GB2312" w:cs="楷体_GB2312"/>
          <w:b/>
          <w:bCs/>
          <w:color w:val="000000"/>
          <w:kern w:val="0"/>
          <w:sz w:val="32"/>
          <w:szCs w:val="32"/>
          <w:lang w:val="en-US" w:eastAsia="zh-CN" w:bidi="ar"/>
        </w:rPr>
      </w:pPr>
      <w:r>
        <w:rPr>
          <w:rFonts w:ascii="楷体_GB2312" w:hAnsi="楷体_GB2312" w:eastAsia="楷体_GB2312" w:cs="楷体_GB2312"/>
          <w:b/>
          <w:bCs/>
          <w:color w:val="000000"/>
          <w:kern w:val="0"/>
          <w:sz w:val="32"/>
          <w:szCs w:val="32"/>
          <w:lang w:val="en-US" w:eastAsia="zh-CN" w:bidi="ar"/>
        </w:rPr>
        <w:t xml:space="preserve">（二）机关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1.机关、社会团体、驻饶部队和事业单位，按在册干部、职工每人每月5元收取，由单位负担。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2.企业按在册职工每人每月3元收取，由企业或业主负担（不含离退休人员），特困企业经县政府批准可减免。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left"/>
        <w:textAlignment w:val="auto"/>
        <w:rPr>
          <w:rFonts w:ascii="楷体_GB2312" w:hAnsi="楷体_GB2312" w:eastAsia="楷体_GB2312" w:cs="楷体_GB2312"/>
          <w:b/>
          <w:bCs/>
          <w:color w:val="000000"/>
          <w:kern w:val="0"/>
          <w:sz w:val="32"/>
          <w:szCs w:val="32"/>
          <w:lang w:val="en-US" w:eastAsia="zh-CN" w:bidi="ar"/>
        </w:rPr>
      </w:pPr>
      <w:r>
        <w:rPr>
          <w:rFonts w:ascii="楷体_GB2312" w:hAnsi="楷体_GB2312" w:eastAsia="楷体_GB2312" w:cs="楷体_GB2312"/>
          <w:b/>
          <w:bCs/>
          <w:color w:val="000000"/>
          <w:kern w:val="0"/>
          <w:sz w:val="32"/>
          <w:szCs w:val="32"/>
          <w:lang w:val="en-US" w:eastAsia="zh-CN" w:bidi="ar"/>
        </w:rPr>
        <w:t xml:space="preserve">（三）店面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1.餐饮服务业、娱乐休闲业按照营业面积每平方米每月2元收取。</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2.旅馆服务业（内设餐饮、娱乐业，另按标准计收），按照设置的经营床位的70%核定，每床位每月30元；床位价格在10元/日以下的，按每床位每月15元收取。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3.建材、修（洗）车、废品回收、瓷器店、洗理等，按营业面积每平方米每月1元收取。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4.百货、食杂、电器、照相、五金、通讯、邮电、书刊、金融等商业门点或营业网点，按照营业面积每平方米每月0.50元收取。</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5.集贸和批发市场：畜禽、鱼类等每摊位每月15元，饮食、蔬菜、水果等每摊位每月12元，其他摊位每摊位每月10元收取。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以上未涵盖的单位，可参照相近行业标准执行。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left"/>
        <w:textAlignment w:val="auto"/>
        <w:rPr>
          <w:b/>
          <w:bCs/>
          <w:sz w:val="32"/>
          <w:szCs w:val="32"/>
        </w:rPr>
      </w:pPr>
      <w:r>
        <w:rPr>
          <w:rFonts w:ascii="楷体_GB2312" w:hAnsi="楷体_GB2312" w:eastAsia="楷体_GB2312" w:cs="楷体_GB2312"/>
          <w:b/>
          <w:bCs/>
          <w:color w:val="000000"/>
          <w:kern w:val="0"/>
          <w:sz w:val="32"/>
          <w:szCs w:val="32"/>
          <w:lang w:val="en-US" w:eastAsia="zh-CN" w:bidi="ar"/>
        </w:rPr>
        <w:t xml:space="preserve">（四）车辆、停车场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1.机动车（单位和个人）按以下标准收取：2吨以下货车每辆每月5元，2吨以上货车每辆每月10元；公交车、客车等10座位以下每月10元，10座位以上每月15元，出租车每月5元；单位和个人小型汽车每月10元。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2.停车场、点，按经营面积每平方米每月0.50元收取。</w:t>
      </w:r>
      <w:r>
        <w:rPr>
          <w:rFonts w:hint="eastAsia" w:ascii="仿宋" w:hAnsi="仿宋" w:eastAsia="仿宋" w:cs="仿宋"/>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3" w:firstLineChars="200"/>
        <w:jc w:val="left"/>
        <w:textAlignment w:val="auto"/>
        <w:rPr>
          <w:rFonts w:ascii="楷体_GB2312" w:hAnsi="楷体_GB2312" w:eastAsia="楷体_GB2312" w:cs="楷体_GB2312"/>
          <w:b/>
          <w:bCs/>
          <w:color w:val="000000"/>
          <w:kern w:val="0"/>
          <w:sz w:val="32"/>
          <w:szCs w:val="32"/>
          <w:lang w:val="en-US" w:eastAsia="zh-CN" w:bidi="ar"/>
        </w:rPr>
      </w:pPr>
      <w:r>
        <w:rPr>
          <w:rFonts w:ascii="楷体_GB2312" w:hAnsi="楷体_GB2312" w:eastAsia="楷体_GB2312" w:cs="楷体_GB2312"/>
          <w:b/>
          <w:bCs/>
          <w:color w:val="000000"/>
          <w:kern w:val="0"/>
          <w:sz w:val="32"/>
          <w:szCs w:val="32"/>
          <w:lang w:val="en-US" w:eastAsia="zh-CN" w:bidi="ar"/>
        </w:rPr>
        <w:t xml:space="preserve">（五）建筑施工工程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凡在县城区内新建、改建、续建、扩建及装饰装修的房屋、厂房、综合楼、办公楼等建设单位或个人，按建筑面积每平方米一次性交纳7元的垃圾处理费。</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以上收费对同一单位同属性的收费项目只按一种计费方式收费，不重复计收。 </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sz w:val="32"/>
          <w:szCs w:val="40"/>
          <w:lang w:val="en-US" w:eastAsia="zh-CN"/>
        </w:rPr>
      </w:pPr>
      <w:r>
        <w:rPr>
          <w:rFonts w:hint="eastAsia" w:ascii="黑体" w:hAnsi="宋体" w:eastAsia="黑体" w:cs="黑体"/>
          <w:b/>
          <w:bCs/>
          <w:color w:val="000000"/>
          <w:kern w:val="0"/>
          <w:sz w:val="32"/>
          <w:szCs w:val="32"/>
          <w:lang w:val="en-US" w:eastAsia="zh-CN" w:bidi="ar"/>
        </w:rPr>
        <w:t>第五条</w:t>
      </w:r>
      <w:r>
        <w:rPr>
          <w:rFonts w:hint="eastAsia"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铅山县黄岗山城市运营管理有限公司是垃圾处理费的</w:t>
      </w:r>
      <w:r>
        <w:rPr>
          <w:rFonts w:hint="eastAsia" w:ascii="仿宋_GB2312" w:hAnsi="仿宋_GB2312" w:eastAsia="仿宋_GB2312" w:cs="仿宋_GB2312"/>
          <w:sz w:val="32"/>
          <w:szCs w:val="40"/>
          <w:lang w:val="en-US" w:eastAsia="zh-CN"/>
        </w:rPr>
        <w:t>收费主体。</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黑体" w:hAnsi="宋体" w:eastAsia="黑体" w:cs="黑体"/>
          <w:b/>
          <w:bCs/>
          <w:color w:val="000000"/>
          <w:kern w:val="0"/>
          <w:sz w:val="32"/>
          <w:szCs w:val="32"/>
          <w:lang w:val="en-US" w:eastAsia="zh-CN" w:bidi="ar"/>
        </w:rPr>
        <w:t>第六条</w:t>
      </w:r>
      <w:r>
        <w:rPr>
          <w:rFonts w:hint="eastAsia"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 xml:space="preserve">按照“规范收费、责权明确、严格管理、确保收足”的收费原则，垃圾处理费收费工作按下列分工进行： </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（一）居民的垃圾处理费委托县银龙水务有限公司在收缴自来水费时代收。非居民生活垃圾处理费的收费方式在法律规定的框架下另行处理。</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（二）财政全额拨款的机关、团体、事业单位的垃圾处理费由县财政局配合收取。</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（三）县交管大队要积极配合机动车（单位和个人）的垃圾处理费的收取。</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3" w:firstLineChars="200"/>
        <w:jc w:val="left"/>
        <w:textAlignment w:val="auto"/>
        <w:rPr>
          <w:rFonts w:hint="eastAsia" w:ascii="仿宋" w:hAnsi="仿宋" w:eastAsia="仿宋" w:cs="仿宋"/>
          <w:color w:val="000000"/>
          <w:kern w:val="0"/>
          <w:sz w:val="32"/>
          <w:szCs w:val="32"/>
          <w:lang w:val="en-US" w:eastAsia="zh-CN" w:bidi="ar"/>
        </w:rPr>
      </w:pPr>
      <w:r>
        <w:rPr>
          <w:rFonts w:hint="eastAsia" w:ascii="黑体" w:hAnsi="宋体" w:eastAsia="黑体" w:cs="黑体"/>
          <w:b/>
          <w:bCs/>
          <w:color w:val="000000"/>
          <w:kern w:val="0"/>
          <w:sz w:val="32"/>
          <w:szCs w:val="32"/>
          <w:lang w:val="en-US" w:eastAsia="zh-CN" w:bidi="ar"/>
        </w:rPr>
        <w:t>第七条</w:t>
      </w:r>
      <w:r>
        <w:rPr>
          <w:rFonts w:hint="eastAsia"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收费统一使用税务部门监制的发票。</w:t>
      </w:r>
      <w:r>
        <w:rPr>
          <w:rFonts w:hint="eastAsia" w:ascii="仿宋" w:hAnsi="仿宋" w:eastAsia="仿宋" w:cs="仿宋"/>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3" w:firstLineChars="200"/>
        <w:jc w:val="left"/>
        <w:textAlignment w:val="auto"/>
        <w:rPr>
          <w:rFonts w:hint="eastAsia" w:ascii="仿宋" w:hAnsi="仿宋" w:eastAsia="仿宋" w:cs="仿宋"/>
          <w:color w:val="000000"/>
          <w:kern w:val="0"/>
          <w:sz w:val="32"/>
          <w:szCs w:val="32"/>
          <w:lang w:val="en-US" w:eastAsia="zh-CN" w:bidi="ar"/>
        </w:rPr>
      </w:pPr>
      <w:r>
        <w:rPr>
          <w:rFonts w:hint="eastAsia" w:ascii="黑体" w:hAnsi="宋体" w:eastAsia="黑体" w:cs="黑体"/>
          <w:b/>
          <w:bCs/>
          <w:color w:val="000000"/>
          <w:kern w:val="0"/>
          <w:sz w:val="32"/>
          <w:szCs w:val="32"/>
          <w:lang w:val="en-US" w:eastAsia="zh-CN" w:bidi="ar"/>
        </w:rPr>
        <w:t>第八条</w:t>
      </w:r>
      <w:r>
        <w:rPr>
          <w:rFonts w:hint="eastAsia"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收支管理</w:t>
      </w:r>
      <w:r>
        <w:rPr>
          <w:rFonts w:hint="eastAsia" w:ascii="仿宋" w:hAnsi="仿宋" w:eastAsia="仿宋" w:cs="仿宋"/>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（一）收费单位必须严格按照本办法规定的收费项目和收费标准执行，任何单位和个人都不得擅自减免垃圾处理费。</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（二）收取的垃圾处理费实行“收支两条线”管理，不得截留、挪用。 </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三）从实际收取的城区城市生活垃圾处理费中，按5%的比例计提工作经费，由铅山县黄岗山城市运营管理有限公司核准后，统一支付给实际收费单位。扣除以上费用及应缴纳的税费后的垃圾处理费主要用于城市市容环境卫生管理中生活垃圾的中转、运输、维护费用以及城市生活垃圾无害化处理费用。 </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（四）</w:t>
      </w:r>
      <w:r>
        <w:rPr>
          <w:rFonts w:hint="eastAsia" w:ascii="仿宋_GB2312" w:hAnsi="仿宋_GB2312" w:eastAsia="仿宋_GB2312" w:cs="仿宋_GB2312"/>
          <w:strike w:val="0"/>
          <w:dstrike w:val="0"/>
          <w:color w:val="000000"/>
          <w:kern w:val="0"/>
          <w:sz w:val="32"/>
          <w:szCs w:val="32"/>
          <w:lang w:val="en-US" w:eastAsia="zh-CN" w:bidi="ar"/>
        </w:rPr>
        <w:t>收费单位</w:t>
      </w:r>
      <w:r>
        <w:rPr>
          <w:rFonts w:hint="eastAsia" w:ascii="仿宋_GB2312" w:hAnsi="仿宋_GB2312" w:eastAsia="仿宋_GB2312" w:cs="仿宋_GB2312"/>
          <w:color w:val="000000"/>
          <w:kern w:val="0"/>
          <w:sz w:val="32"/>
          <w:szCs w:val="32"/>
          <w:lang w:val="en-US" w:eastAsia="zh-CN" w:bidi="ar"/>
        </w:rPr>
        <w:t>应建立健全收费管理制度，保证垃圾处理费制度顺利实施。发改、财政、城管部门要加强对垃圾处理费的监督检查。</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五）加大垃圾处理费收费力度，提高垃圾处理费的收缴率。对单位和个人未按规定缴纳城市生活垃圾处理费的由铅山县城市管理局依据《城市生活垃圾管理办法》（中华人民共和国建设部令第157号）第三十八条规定进行处理。</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3"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黑体" w:hAnsi="宋体" w:eastAsia="黑体" w:cs="黑体"/>
          <w:b/>
          <w:bCs/>
          <w:color w:val="000000"/>
          <w:kern w:val="0"/>
          <w:sz w:val="32"/>
          <w:szCs w:val="32"/>
          <w:lang w:val="en-US" w:eastAsia="zh-CN" w:bidi="ar"/>
        </w:rPr>
        <w:t>第九条</w:t>
      </w:r>
      <w:r>
        <w:rPr>
          <w:rFonts w:hint="eastAsia"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 xml:space="preserve">大中专院校和中小学校及幼儿园的在校学生（不含教师及工作人员）、社会福利院的在院人员（不含工作人员），免交垃圾处理费；持有政府帮困卡的低收入特困户、享受国家定期抚恤的对象、享受失业保险待遇的失业人员，免交垃圾处理费；公交车、出租车可根据现行政策给予减免垃圾处理费；凡政策规定可以减免的按相应规定执行。 </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3" w:firstLineChars="200"/>
        <w:jc w:val="both"/>
        <w:textAlignment w:val="auto"/>
        <w:rPr>
          <w:rFonts w:hint="eastAsia" w:ascii="仿宋_GB2312" w:hAnsi="仿宋_GB2312" w:eastAsia="仿宋_GB2312" w:cs="仿宋_GB2312"/>
          <w:strike/>
          <w:dstrike w:val="0"/>
          <w:color w:val="000000"/>
          <w:kern w:val="0"/>
          <w:sz w:val="32"/>
          <w:szCs w:val="32"/>
          <w:lang w:val="en-US" w:eastAsia="zh-CN" w:bidi="ar"/>
        </w:rPr>
      </w:pPr>
      <w:r>
        <w:rPr>
          <w:rFonts w:hint="eastAsia" w:ascii="黑体" w:hAnsi="宋体" w:eastAsia="黑体" w:cs="黑体"/>
          <w:b/>
          <w:bCs/>
          <w:color w:val="000000"/>
          <w:kern w:val="0"/>
          <w:sz w:val="32"/>
          <w:szCs w:val="32"/>
          <w:lang w:val="en-US" w:eastAsia="zh-CN" w:bidi="ar"/>
        </w:rPr>
        <w:t>第十条</w:t>
      </w:r>
      <w:r>
        <w:rPr>
          <w:rFonts w:hint="eastAsia" w:ascii="仿宋" w:hAnsi="仿宋" w:eastAsia="仿宋" w:cs="仿宋"/>
          <w:strike w:val="0"/>
          <w:dstrike w:val="0"/>
          <w:color w:val="000000"/>
          <w:kern w:val="0"/>
          <w:sz w:val="32"/>
          <w:szCs w:val="32"/>
          <w:lang w:val="en-US" w:eastAsia="zh-CN" w:bidi="ar"/>
        </w:rPr>
        <w:t xml:space="preserve"> </w:t>
      </w:r>
      <w:r>
        <w:rPr>
          <w:rFonts w:hint="eastAsia" w:ascii="仿宋_GB2312" w:hAnsi="仿宋_GB2312" w:eastAsia="仿宋_GB2312" w:cs="仿宋_GB2312"/>
          <w:strike w:val="0"/>
          <w:dstrike w:val="0"/>
          <w:color w:val="000000"/>
          <w:kern w:val="0"/>
          <w:sz w:val="32"/>
          <w:szCs w:val="32"/>
          <w:lang w:val="en-US" w:eastAsia="zh-CN" w:bidi="ar"/>
        </w:rPr>
        <w:t>各乡镇（中心）的垃圾处理费收费可参照第五条、第六条执行。各乡镇（中心）的垃圾处理费收费标准采取一事一议方式确定。</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3"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黑体" w:hAnsi="宋体" w:eastAsia="黑体" w:cs="黑体"/>
          <w:b/>
          <w:bCs/>
          <w:color w:val="000000"/>
          <w:kern w:val="0"/>
          <w:sz w:val="32"/>
          <w:szCs w:val="32"/>
          <w:lang w:val="en-US" w:eastAsia="zh-CN" w:bidi="ar"/>
        </w:rPr>
        <w:t>第十一条</w:t>
      </w:r>
      <w:r>
        <w:rPr>
          <w:rFonts w:hint="eastAsia"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各乡镇（中心）收取的垃圾处理费，由铅山县黄岗山城市运营管理有限公司核准后全部支付给各乡镇（中心）用于农村人居环境整治。未收费的乡镇（中心），县财政将从转移支付经费中扣除相应的费用。</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3" w:firstLineChars="200"/>
        <w:jc w:val="left"/>
        <w:textAlignment w:val="auto"/>
        <w:rPr>
          <w:sz w:val="32"/>
          <w:szCs w:val="32"/>
        </w:rPr>
      </w:pPr>
      <w:r>
        <w:rPr>
          <w:rFonts w:hint="eastAsia" w:ascii="黑体" w:hAnsi="宋体" w:eastAsia="黑体" w:cs="黑体"/>
          <w:b/>
          <w:bCs/>
          <w:color w:val="000000"/>
          <w:kern w:val="0"/>
          <w:sz w:val="32"/>
          <w:szCs w:val="32"/>
          <w:lang w:val="en-US" w:eastAsia="zh-CN" w:bidi="ar"/>
        </w:rPr>
        <w:t>第十二条</w:t>
      </w:r>
      <w:r>
        <w:rPr>
          <w:rFonts w:hint="eastAsia"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本办法由铅山县发改委负责解释。</w:t>
      </w:r>
      <w:r>
        <w:rPr>
          <w:rFonts w:hint="eastAsia" w:ascii="仿宋" w:hAnsi="仿宋" w:eastAsia="仿宋" w:cs="仿宋"/>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黑体" w:hAnsi="宋体" w:eastAsia="黑体" w:cs="黑体"/>
          <w:b/>
          <w:bCs/>
          <w:color w:val="000000"/>
          <w:kern w:val="0"/>
          <w:sz w:val="32"/>
          <w:szCs w:val="32"/>
          <w:lang w:val="en-US" w:eastAsia="zh-CN" w:bidi="ar"/>
        </w:rPr>
        <w:t>第十三条</w:t>
      </w:r>
      <w:r>
        <w:rPr>
          <w:rFonts w:hint="eastAsia" w:ascii="黑体" w:hAnsi="宋体" w:eastAsia="黑体" w:cs="黑体"/>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本办法自2023年4月1日起施行。原《铅山县城区城市生活垃圾处理费征收使用管理办法》（铅府办发〔2020〕3号）同时废止。</w:t>
      </w:r>
    </w:p>
    <w:p>
      <w:pPr>
        <w:pStyle w:val="3"/>
        <w:rPr>
          <w:rFonts w:hint="eastAsia" w:ascii="仿宋_GB2312" w:hAnsi="仿宋_GB2312" w:eastAsia="仿宋_GB2312" w:cs="仿宋_GB2312"/>
          <w:color w:val="000000"/>
          <w:kern w:val="0"/>
          <w:sz w:val="32"/>
          <w:szCs w:val="32"/>
          <w:lang w:val="en-US" w:eastAsia="zh-CN" w:bidi="ar"/>
        </w:rPr>
      </w:pPr>
    </w:p>
    <w:p>
      <w:pPr>
        <w:pStyle w:val="3"/>
        <w:ind w:left="0" w:leftChars="0" w:firstLine="0" w:firstLineChars="0"/>
        <w:rPr>
          <w:rFonts w:hint="eastAsia" w:ascii="仿宋_GB2312" w:hAnsi="仿宋_GB2312" w:eastAsia="仿宋_GB2312" w:cs="仿宋_GB2312"/>
          <w:color w:val="000000"/>
          <w:kern w:val="0"/>
          <w:sz w:val="32"/>
          <w:szCs w:val="32"/>
          <w:lang w:val="en-US" w:eastAsia="zh-CN" w:bidi="ar"/>
        </w:rPr>
      </w:pPr>
    </w:p>
    <w:p>
      <w:pPr>
        <w:pStyle w:val="3"/>
        <w:ind w:left="0" w:leftChars="0" w:firstLine="0" w:firstLineChars="0"/>
        <w:rPr>
          <w:rFonts w:hint="eastAsia" w:ascii="仿宋_GB2312" w:hAnsi="仿宋_GB2312" w:eastAsia="仿宋_GB2312" w:cs="仿宋_GB2312"/>
          <w:color w:val="000000"/>
          <w:kern w:val="0"/>
          <w:sz w:val="32"/>
          <w:szCs w:val="32"/>
          <w:lang w:val="en-US" w:eastAsia="zh-CN" w:bidi="ar"/>
        </w:rPr>
      </w:pPr>
    </w:p>
    <w:p>
      <w:pPr>
        <w:pStyle w:val="3"/>
        <w:ind w:left="0" w:leftChars="0" w:firstLine="0" w:firstLineChars="0"/>
        <w:rPr>
          <w:rFonts w:hint="eastAsia" w:ascii="仿宋_GB2312" w:hAnsi="仿宋_GB2312" w:eastAsia="仿宋_GB2312" w:cs="仿宋_GB2312"/>
          <w:color w:val="000000"/>
          <w:kern w:val="0"/>
          <w:sz w:val="32"/>
          <w:szCs w:val="32"/>
          <w:lang w:val="en-US" w:eastAsia="zh-CN" w:bidi="ar"/>
        </w:rPr>
      </w:pPr>
    </w:p>
    <w:p>
      <w:pPr>
        <w:pStyle w:val="3"/>
        <w:ind w:left="0" w:leftChars="0" w:firstLine="0" w:firstLineChars="0"/>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val="0"/>
        <w:kinsoku/>
        <w:wordWrap/>
        <w:overflowPunct/>
        <w:topLinePunct w:val="0"/>
        <w:autoSpaceDE/>
        <w:autoSpaceDN/>
        <w:bidi w:val="0"/>
        <w:spacing w:beforeAutospacing="0" w:afterAutospacing="0" w:line="520" w:lineRule="exact"/>
        <w:ind w:left="0" w:leftChars="0" w:right="0" w:rightChars="0" w:firstLine="0" w:firstLineChars="0"/>
        <w:textAlignment w:val="auto"/>
        <w:rPr>
          <w:rFonts w:ascii="仿宋_GB2312" w:hAnsi="仿宋_GB2312" w:eastAsia="仿宋_GB2312" w:cs="仿宋_GB2312"/>
          <w:sz w:val="28"/>
          <w:szCs w:val="28"/>
          <w:u w:val="thick"/>
        </w:rPr>
      </w:pPr>
      <w:r>
        <w:rPr>
          <w:rFonts w:hint="eastAsia" w:ascii="仿宋_GB2312" w:hAnsi="仿宋_GB2312" w:eastAsia="仿宋_GB2312" w:cs="仿宋_GB2312"/>
          <w:sz w:val="28"/>
          <w:szCs w:val="28"/>
          <w:u w:val="thick"/>
        </w:rPr>
        <w:t xml:space="preserve">                                                                                 </w:t>
      </w:r>
    </w:p>
    <w:p>
      <w:pPr>
        <w:keepNext w:val="0"/>
        <w:keepLines w:val="0"/>
        <w:pageBreakBefore w:val="0"/>
        <w:widowControl w:val="0"/>
        <w:kinsoku/>
        <w:wordWrap/>
        <w:overflowPunct/>
        <w:topLinePunct w:val="0"/>
        <w:autoSpaceDE/>
        <w:autoSpaceDN/>
        <w:bidi w:val="0"/>
        <w:spacing w:beforeAutospacing="0" w:afterAutospacing="0" w:line="520" w:lineRule="exact"/>
        <w:ind w:left="0" w:leftChars="0" w:right="0" w:rightChars="0" w:firstLine="0" w:firstLineChars="0"/>
        <w:textAlignment w:val="auto"/>
        <w:rPr>
          <w:rFonts w:hint="default" w:ascii="仿宋_GB2312" w:eastAsia="仿宋_GB2312"/>
          <w:lang w:val="en-US" w:eastAsia="zh-CN"/>
        </w:rPr>
      </w:pPr>
      <w:r>
        <w:rPr>
          <w:rFonts w:hint="eastAsia" w:ascii="仿宋_GB2312" w:hAnsi="仿宋_GB2312" w:eastAsia="仿宋_GB2312" w:cs="仿宋_GB2312"/>
          <w:sz w:val="28"/>
          <w:szCs w:val="28"/>
          <w:u w:val="thick"/>
        </w:rPr>
        <w:t xml:space="preserve">  铅山县人民政府办公室秘书</w:t>
      </w:r>
      <w:r>
        <w:rPr>
          <w:rFonts w:hint="eastAsia" w:ascii="仿宋_GB2312" w:hAnsi="仿宋_GB2312" w:eastAsia="仿宋_GB2312" w:cs="仿宋_GB2312"/>
          <w:sz w:val="28"/>
          <w:szCs w:val="28"/>
          <w:u w:val="thick"/>
          <w:lang w:eastAsia="zh-CN"/>
        </w:rPr>
        <w:t>股</w:t>
      </w:r>
      <w:r>
        <w:rPr>
          <w:rFonts w:hint="eastAsia" w:ascii="仿宋_GB2312" w:hAnsi="仿宋_GB2312" w:eastAsia="仿宋_GB2312" w:cs="仿宋_GB2312"/>
          <w:sz w:val="28"/>
          <w:szCs w:val="28"/>
          <w:u w:val="thick"/>
        </w:rPr>
        <w:t xml:space="preserve">           </w:t>
      </w:r>
      <w:r>
        <w:rPr>
          <w:rFonts w:hint="eastAsia" w:ascii="仿宋_GB2312" w:hAnsi="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202</w:t>
      </w:r>
      <w:r>
        <w:rPr>
          <w:rFonts w:hint="eastAsia" w:ascii="仿宋_GB2312" w:hAnsi="仿宋_GB2312" w:cs="仿宋_GB2312"/>
          <w:sz w:val="28"/>
          <w:szCs w:val="28"/>
          <w:u w:val="thick"/>
          <w:lang w:val="en-US" w:eastAsia="zh-CN"/>
        </w:rPr>
        <w:t>3</w:t>
      </w:r>
      <w:r>
        <w:rPr>
          <w:rFonts w:hint="eastAsia" w:ascii="仿宋_GB2312" w:hAnsi="仿宋_GB2312" w:eastAsia="仿宋_GB2312" w:cs="仿宋_GB2312"/>
          <w:sz w:val="28"/>
          <w:szCs w:val="28"/>
          <w:u w:val="thick"/>
        </w:rPr>
        <w:t>年</w:t>
      </w:r>
      <w:r>
        <w:rPr>
          <w:rFonts w:hint="eastAsia" w:ascii="仿宋_GB2312" w:hAnsi="仿宋_GB2312" w:cs="仿宋_GB2312"/>
          <w:sz w:val="28"/>
          <w:szCs w:val="28"/>
          <w:u w:val="thick"/>
          <w:lang w:val="en-US" w:eastAsia="zh-CN"/>
        </w:rPr>
        <w:t>4</w:t>
      </w:r>
      <w:r>
        <w:rPr>
          <w:rFonts w:hint="eastAsia" w:ascii="仿宋_GB2312" w:hAnsi="仿宋_GB2312" w:eastAsia="仿宋_GB2312" w:cs="仿宋_GB2312"/>
          <w:sz w:val="28"/>
          <w:szCs w:val="28"/>
          <w:u w:val="thick"/>
        </w:rPr>
        <w:t>月</w:t>
      </w:r>
      <w:r>
        <w:rPr>
          <w:rFonts w:hint="eastAsia" w:ascii="仿宋_GB2312" w:hAnsi="仿宋_GB2312" w:cs="仿宋_GB2312"/>
          <w:sz w:val="28"/>
          <w:szCs w:val="28"/>
          <w:u w:val="thick"/>
          <w:lang w:val="en-US" w:eastAsia="zh-CN"/>
        </w:rPr>
        <w:t>12</w:t>
      </w:r>
      <w:r>
        <w:rPr>
          <w:rFonts w:hint="eastAsia" w:ascii="仿宋_GB2312" w:hAnsi="仿宋_GB2312" w:eastAsia="仿宋_GB2312" w:cs="仿宋_GB2312"/>
          <w:sz w:val="28"/>
          <w:szCs w:val="28"/>
          <w:u w:val="thick"/>
        </w:rPr>
        <w:t xml:space="preserve">日印发        </w:t>
      </w:r>
    </w:p>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铅山县“十四五”残疾人保障和发展规划</w:t>
      </w:r>
    </w:p>
    <w:p>
      <w:pPr>
        <w:keepNext w:val="0"/>
        <w:keepLines w:val="0"/>
        <w:pageBreakBefore w:val="0"/>
        <w:kinsoku/>
        <w:overflowPunct/>
        <w:topLinePunct w:val="0"/>
        <w:autoSpaceDE/>
        <w:autoSpaceDN/>
        <w:bidi w:val="0"/>
        <w:adjustRightInd/>
        <w:snapToGrid/>
        <w:spacing w:beforeAutospacing="0" w:afterAutospacing="0" w:line="560" w:lineRule="exact"/>
        <w:rPr>
          <w:rFonts w:ascii="方正仿宋_GB2312" w:hAnsi="方正仿宋_GB2312" w:eastAsia="方正仿宋_GB2312" w:cs="方正仿宋_GB2312"/>
          <w:sz w:val="32"/>
          <w:szCs w:val="32"/>
        </w:rPr>
      </w:pPr>
    </w:p>
    <w:p>
      <w:pPr>
        <w:keepNext w:val="0"/>
        <w:keepLines w:val="0"/>
        <w:pageBreakBefore w:val="0"/>
        <w:kinsoku/>
        <w:overflowPunct/>
        <w:topLinePunct w:val="0"/>
        <w:autoSpaceDE/>
        <w:autoSpaceDN/>
        <w:bidi w:val="0"/>
        <w:adjustRightInd/>
        <w:snapToGrid/>
        <w:spacing w:beforeAutospacing="0" w:afterAutospacing="0"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推进“十四五”时期全县残疾人事业现代化进程，进一步保障残疾人民生、促进残疾人全面发展，更好满足残疾人日益增长的美好生活需要，依据国务院《“十四五”残疾人保障和发展规划》《江西省“十四五”残疾人保障和发展规划》、《上饶市“十四五”残疾人保障和发展规划》和《铅山县国民经济和社会发展第十四个五年规划纲要》，制定本规划。</w:t>
      </w:r>
    </w:p>
    <w:p>
      <w:pPr>
        <w:keepNext w:val="0"/>
        <w:keepLines w:val="0"/>
        <w:pageBreakBefore w:val="0"/>
        <w:kinsoku/>
        <w:overflowPunct/>
        <w:topLinePunct w:val="0"/>
        <w:autoSpaceDE/>
        <w:autoSpaceDN/>
        <w:bidi w:val="0"/>
        <w:adjustRightInd/>
        <w:snapToGrid/>
        <w:spacing w:beforeAutospacing="0" w:afterAutospacing="0" w:line="56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一、指导思想</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rPr>
        <w:t>高举习近平新时代中国特色社会主义思想伟大旗帜，始终坚持以人民为中心的发展理念，全面贯彻党的二十大精神，积极落实习近平总书记关于残疾人事业发展的重要论述，着力提升残疾人民生保障和公共服务，着力保障残疾人平等权益，着力促进残疾人共享发展、融合发展、共同富裕，奋力开启残疾人事业现代化建设新征程，为我县“全面融入上饶中心城区，建设现代化美丽新铅山”作出积极贡献。</w:t>
      </w:r>
    </w:p>
    <w:p>
      <w:pPr>
        <w:keepNext w:val="0"/>
        <w:keepLines w:val="0"/>
        <w:pageBreakBefore w:val="0"/>
        <w:kinsoku/>
        <w:overflowPunct/>
        <w:topLinePunct w:val="0"/>
        <w:autoSpaceDE/>
        <w:autoSpaceDN/>
        <w:bidi w:val="0"/>
        <w:adjustRightInd/>
        <w:snapToGrid/>
        <w:spacing w:beforeAutospacing="0" w:afterAutospacing="0" w:line="56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二、基本原则</w:t>
      </w:r>
    </w:p>
    <w:p>
      <w:pPr>
        <w:keepNext w:val="0"/>
        <w:keepLines w:val="0"/>
        <w:pageBreakBefore w:val="0"/>
        <w:kinsoku/>
        <w:overflowPunct/>
        <w:topLinePunct w:val="0"/>
        <w:autoSpaceDE/>
        <w:autoSpaceDN/>
        <w:bidi w:val="0"/>
        <w:adjustRightInd/>
        <w:snapToGrid/>
        <w:spacing w:beforeAutospacing="0" w:afterAutospacing="0" w:line="560" w:lineRule="exact"/>
        <w:ind w:firstLine="643" w:firstLineChars="200"/>
        <w:rPr>
          <w:rFonts w:hint="eastAsia" w:ascii="仿宋_GB2312" w:hAnsi="仿宋_GB2312" w:eastAsia="仿宋_GB2312" w:cs="仿宋_GB2312"/>
          <w:kern w:val="0"/>
          <w:sz w:val="32"/>
          <w:szCs w:val="32"/>
        </w:rPr>
      </w:pPr>
      <w:r>
        <w:rPr>
          <w:rFonts w:hint="eastAsia" w:ascii="方正楷体_GB2312" w:hAnsi="方正楷体_GB2312" w:eastAsia="方正楷体_GB2312" w:cs="方正楷体_GB2312"/>
          <w:b/>
          <w:bCs/>
          <w:sz w:val="32"/>
          <w:szCs w:val="32"/>
        </w:rPr>
        <w:t>坚持党的全面领导。</w:t>
      </w:r>
      <w:r>
        <w:rPr>
          <w:rFonts w:hint="eastAsia" w:ascii="仿宋_GB2312" w:hAnsi="仿宋_GB2312" w:eastAsia="仿宋_GB2312" w:cs="仿宋_GB2312"/>
          <w:sz w:val="32"/>
          <w:szCs w:val="32"/>
        </w:rPr>
        <w:t>坚持和完善党领导残疾人事业发展的体制机制，把党的领导贯穿残疾人事业各个方面，</w:t>
      </w:r>
      <w:r>
        <w:rPr>
          <w:rFonts w:hint="eastAsia" w:ascii="仿宋_GB2312" w:hAnsi="仿宋_GB2312" w:eastAsia="仿宋_GB2312" w:cs="仿宋_GB2312"/>
          <w:kern w:val="0"/>
          <w:sz w:val="32"/>
          <w:szCs w:val="32"/>
        </w:rPr>
        <w:t>健全和完善党委领导、政府负责的残疾人工作领导体制，充分发挥残疾人工作委员会总揽全局、协调各方的职能作用，为推动我县残疾人事业发展提供坚强政治保障。</w:t>
      </w:r>
    </w:p>
    <w:p>
      <w:pPr>
        <w:keepNext w:val="0"/>
        <w:keepLines w:val="0"/>
        <w:pageBreakBefore w:val="0"/>
        <w:kinsoku/>
        <w:overflowPunct/>
        <w:topLinePunct w:val="0"/>
        <w:autoSpaceDE/>
        <w:autoSpaceDN/>
        <w:bidi w:val="0"/>
        <w:adjustRightInd/>
        <w:snapToGrid/>
        <w:spacing w:beforeAutospacing="0" w:afterAutospacing="0" w:line="560" w:lineRule="exact"/>
        <w:ind w:firstLine="643" w:firstLineChars="20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坚持以人民为中心。</w:t>
      </w:r>
      <w:r>
        <w:rPr>
          <w:rFonts w:hint="eastAsia" w:ascii="仿宋_GB2312" w:hAnsi="仿宋_GB2312" w:eastAsia="仿宋_GB2312" w:cs="仿宋_GB2312"/>
          <w:sz w:val="32"/>
          <w:szCs w:val="32"/>
        </w:rPr>
        <w:t>坚持对残疾人格外关心、格外关注，解决好残疾人最关心、最直接、最现实的利益问题，激发残疾人融入社会和自我发展能力，不断增进民生福祉，不断增强残疾人的获得感、幸福感、安全感。</w:t>
      </w:r>
    </w:p>
    <w:p>
      <w:pPr>
        <w:keepNext w:val="0"/>
        <w:keepLines w:val="0"/>
        <w:pageBreakBefore w:val="0"/>
        <w:kinsoku/>
        <w:overflowPunct/>
        <w:topLinePunct w:val="0"/>
        <w:autoSpaceDE/>
        <w:autoSpaceDN/>
        <w:bidi w:val="0"/>
        <w:adjustRightInd/>
        <w:snapToGrid/>
        <w:spacing w:beforeAutospacing="0" w:afterAutospacing="0" w:line="560" w:lineRule="exact"/>
        <w:ind w:firstLine="643" w:firstLineChars="20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坚持新发展理念。</w:t>
      </w:r>
      <w:r>
        <w:rPr>
          <w:rFonts w:hint="eastAsia" w:ascii="仿宋_GB2312" w:hAnsi="仿宋_GB2312" w:eastAsia="仿宋_GB2312" w:cs="仿宋_GB2312"/>
          <w:sz w:val="32"/>
          <w:szCs w:val="32"/>
        </w:rPr>
        <w:t>把新发展理念贯穿残疾人事业发展全过程，从解决残疾人最关心、最直接、最现实问题入手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深化重点领域和关键环节改革，为残疾人事业发展提供强大动力。</w:t>
      </w:r>
    </w:p>
    <w:p>
      <w:pPr>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坚持统筹协调。</w:t>
      </w:r>
      <w:r>
        <w:rPr>
          <w:rFonts w:hint="eastAsia" w:ascii="仿宋_GB2312" w:hAnsi="仿宋_GB2312" w:eastAsia="仿宋_GB2312" w:cs="仿宋_GB2312"/>
          <w:sz w:val="32"/>
          <w:szCs w:val="32"/>
        </w:rPr>
        <w:t>立足残疾人对美好生活的期待和经济社会发展实际，发挥政府主导作用和社会力量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场主体协同作用。坚持量力而行，共建融合发展。既尽力而为、积极回应残疾人群众所需，又量力而行、充分尊重经济社会发展客观规律。促进残疾人事业与经济社会协调发展，推动城乡、区域残疾人事业均衡发展。</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ascii="黑体" w:hAnsi="黑体" w:eastAsia="黑体" w:cs="黑体"/>
          <w:b/>
          <w:bCs/>
          <w:kern w:val="2"/>
          <w:sz w:val="32"/>
          <w:szCs w:val="32"/>
        </w:rPr>
      </w:pPr>
      <w:r>
        <w:rPr>
          <w:rFonts w:hint="eastAsia" w:ascii="黑体" w:hAnsi="黑体" w:eastAsia="黑体" w:cs="黑体"/>
          <w:b/>
          <w:bCs/>
          <w:kern w:val="2"/>
          <w:sz w:val="32"/>
          <w:szCs w:val="32"/>
        </w:rPr>
        <w:t>三、主要目标</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0" w:firstLineChars="200"/>
        <w:jc w:val="both"/>
        <w:rPr>
          <w:rFonts w:hint="eastAsia" w:ascii="仿宋_GB2312" w:hAnsi="仿宋_GB2312" w:eastAsia="仿宋_GB2312" w:cs="仿宋_GB2312"/>
          <w:b/>
          <w:bCs/>
          <w:kern w:val="2"/>
          <w:sz w:val="32"/>
          <w:szCs w:val="32"/>
        </w:rPr>
      </w:pPr>
      <w:r>
        <w:rPr>
          <w:rFonts w:hint="eastAsia" w:ascii="仿宋_GB2312" w:hAnsi="仿宋_GB2312" w:eastAsia="仿宋_GB2312" w:cs="仿宋_GB2312"/>
          <w:kern w:val="2"/>
          <w:sz w:val="32"/>
          <w:szCs w:val="32"/>
        </w:rPr>
        <w:t>到2025年，残疾人脱贫攻坚成果巩固拓展，生活品质得到新改善，民生福祉达到新水平。建立更加完善的“普惠+特惠”残疾人基本保障，打造更加健全的专业化、精准化残疾人基本公共服务，更加切实维护保障残疾人合法权益，不断充实残疾人就业服务体系，残疾人的获得感、幸福感、安全感大幅提升。</w:t>
      </w:r>
    </w:p>
    <w:tbl>
      <w:tblPr>
        <w:tblStyle w:val="27"/>
        <w:tblW w:w="8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3654"/>
        <w:gridCol w:w="769"/>
        <w:gridCol w:w="2223"/>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jc w:val="center"/>
        </w:trPr>
        <w:tc>
          <w:tcPr>
            <w:tcW w:w="89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类别</w:t>
            </w: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指标</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单位</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全县目标值</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893" w:type="dxa"/>
            <w:vMerge w:val="restart"/>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收入和就业</w:t>
            </w: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1.残疾人家庭人均收入年均增长</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与国内生产总值增长基本同步</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2.城镇残疾人新增就业人数</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人</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≥120</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3.城乡残疾人职业技能培训人数</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人</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≥160</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893" w:type="dxa"/>
            <w:vMerge w:val="restart"/>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社会保障和基本公共服务</w:t>
            </w: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4.符合条件的残疾人纳入最低生活保障比例</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100</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5.困难残疾人生活补贴覆盖率</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100</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6.重度残疾人护理补贴覆盖率</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100</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7.残疾人城乡居民基本养老保险参保率</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＞90</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8.残疾人城乡居民基本医疗保险参保率</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＞95</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9.困难重度失能残疾人照护和托养人数</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人</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≥200</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10.就业年龄段残疾人托养人数</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人</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≥80</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11.残疾儿童少年义务教育入学率</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≥97</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12.残疾人基本康复服务覆盖率</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≥85</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13.残疾人辅助器具适配率</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≥85</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jc w:val="center"/>
        </w:trPr>
        <w:tc>
          <w:tcPr>
            <w:tcW w:w="893" w:type="dxa"/>
            <w:vMerge w:val="continue"/>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p>
        </w:tc>
        <w:tc>
          <w:tcPr>
            <w:tcW w:w="3654"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14.困难重度残疾人家庭无障碍改造数</w:t>
            </w:r>
          </w:p>
        </w:tc>
        <w:tc>
          <w:tcPr>
            <w:tcW w:w="769"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i/>
                <w:iCs/>
                <w:sz w:val="24"/>
              </w:rPr>
            </w:pPr>
            <w:r>
              <w:rPr>
                <w:rFonts w:hint="eastAsia" w:ascii="仿宋_GB2312" w:hAnsi="仿宋_GB2312" w:eastAsia="仿宋_GB2312" w:cs="仿宋_GB2312"/>
                <w:bCs/>
                <w:sz w:val="24"/>
              </w:rPr>
              <w:t>户</w:t>
            </w:r>
          </w:p>
        </w:tc>
        <w:tc>
          <w:tcPr>
            <w:tcW w:w="222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≥400</w:t>
            </w:r>
          </w:p>
        </w:tc>
        <w:tc>
          <w:tcPr>
            <w:tcW w:w="1113" w:type="dxa"/>
            <w:noWrap/>
            <w:vAlign w:val="center"/>
          </w:tcPr>
          <w:p>
            <w:pPr>
              <w:keepNext w:val="0"/>
              <w:keepLines w:val="0"/>
              <w:pageBreakBefore w:val="0"/>
              <w:kinsoku/>
              <w:overflowPunct/>
              <w:topLinePunct w:val="0"/>
              <w:autoSpaceDE/>
              <w:autoSpaceDN/>
              <w:bidi w:val="0"/>
              <w:adjustRightInd/>
              <w:snapToGrid/>
              <w:spacing w:beforeAutospacing="0" w:afterAutospacing="0" w:line="56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约束性</w:t>
            </w:r>
          </w:p>
        </w:tc>
      </w:tr>
    </w:tbl>
    <w:p>
      <w:pPr>
        <w:keepNext w:val="0"/>
        <w:keepLines w:val="0"/>
        <w:pageBreakBefore w:val="0"/>
        <w:kinsoku/>
        <w:overflowPunct/>
        <w:topLinePunct w:val="0"/>
        <w:autoSpaceDE/>
        <w:autoSpaceDN/>
        <w:bidi w:val="0"/>
        <w:adjustRightInd/>
        <w:snapToGrid/>
        <w:spacing w:beforeAutospacing="0" w:afterAutospacing="0" w:line="56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四、重点任务</w:t>
      </w:r>
    </w:p>
    <w:p>
      <w:pPr>
        <w:pStyle w:val="10"/>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（一）实施残疾人社会保障提升行动。</w:t>
      </w:r>
      <w:r>
        <w:rPr>
          <w:rFonts w:hint="eastAsia" w:ascii="仿宋_GB2312" w:hAnsi="仿宋_GB2312" w:eastAsia="仿宋_GB2312" w:cs="仿宋_GB2312"/>
          <w:sz w:val="32"/>
          <w:szCs w:val="32"/>
        </w:rPr>
        <w:t>不断健全基本养老保险和基本医疗保险为主体、商业保险为补充的多元化社会保障体系。落实困难残疾人生活补贴和重度残疾人护理补贴标准动态调整机制。进一步认真做好残疾人最低生活保障和特困残疾人供养工作。</w:t>
      </w:r>
    </w:p>
    <w:p>
      <w:pPr>
        <w:pStyle w:val="10"/>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（二）实施残疾人就业创业提升行动。</w:t>
      </w:r>
      <w:r>
        <w:rPr>
          <w:rFonts w:hint="eastAsia" w:ascii="仿宋_GB2312" w:hAnsi="仿宋_GB2312" w:eastAsia="仿宋_GB2312" w:cs="仿宋_GB2312"/>
          <w:sz w:val="32"/>
          <w:szCs w:val="32"/>
        </w:rPr>
        <w:t>建立健全残疾人创业就业扶持政策、就业援助长效机制和服务体系。扎实开展残疾人职业技能培训，提升残疾人职业素质和就业创业能力。积极探索开发适合残疾人就业的新方式、新项目、新业态，培育一批立足本地、兼顾残疾人特点的非物质文化遗产传承和传统工艺振兴项目。打造一批残疾人阳光助残就业（创业）基地、残疾人职业技能培训基地和残疾人创业孵化基地，多渠道、多形式安置、帮扶和促进残疾人就业创业，逐步在我县形成多层次、多梯次残疾人就业创业新格局。</w:t>
      </w:r>
    </w:p>
    <w:p>
      <w:pPr>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rPr>
          <w:rFonts w:hint="eastAsia" w:ascii="仿宋_GB2312" w:hAnsi="仿宋_GB2312" w:eastAsia="仿宋_GB2312" w:cs="仿宋_GB2312"/>
          <w:b/>
          <w:bCs/>
          <w:kern w:val="0"/>
          <w:sz w:val="32"/>
          <w:szCs w:val="32"/>
        </w:rPr>
      </w:pPr>
      <w:r>
        <w:rPr>
          <w:rFonts w:hint="eastAsia" w:ascii="楷体_GB2312" w:hAnsi="楷体_GB2312" w:eastAsia="楷体_GB2312" w:cs="楷体_GB2312"/>
          <w:b/>
          <w:bCs/>
          <w:sz w:val="32"/>
          <w:szCs w:val="32"/>
        </w:rPr>
        <w:t>（三）实施残疾人教育质量提升行动。</w:t>
      </w:r>
      <w:r>
        <w:rPr>
          <w:rFonts w:hint="eastAsia" w:ascii="仿宋_GB2312" w:hAnsi="仿宋_GB2312" w:eastAsia="仿宋_GB2312" w:cs="仿宋_GB2312"/>
          <w:sz w:val="32"/>
          <w:szCs w:val="32"/>
        </w:rPr>
        <w:t>认真贯彻落实《残疾人教育条例》，按照“学段衔接优化、医教康教结合、资源配置均衡”的融合教育思路，坚持普通教育优先，以随班就读和特教班的方式，将残疾学生最大限度地融入普通教育，同时探索发展以职业教育为重点的残疾人高中阶段教育，探索建立校企共建形式的残疾人职业技能培训模式，促进特殊教育职业技术培训提档升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逐步形成公办、民办结合，残疾人康复机构、特殊教育学校、中高等职业教育学校合理搭配的特殊教育体系。</w:t>
      </w:r>
    </w:p>
    <w:p>
      <w:pPr>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（四）实施残疾人康复服务提升行动。</w:t>
      </w:r>
      <w:r>
        <w:rPr>
          <w:rFonts w:hint="eastAsia" w:ascii="仿宋_GB2312" w:hAnsi="仿宋_GB2312" w:eastAsia="仿宋_GB2312" w:cs="仿宋_GB2312"/>
          <w:sz w:val="32"/>
          <w:szCs w:val="32"/>
        </w:rPr>
        <w:t>积极开展残疾预防，促进早期干预、医疗康复、专业机构康复、社区康复、互助康复与家庭康复相互衔接。落实残疾医疗康复保障和残疾人康复专项保障政策。实施残疾人基本型辅助器具补贴制度。形成覆盖残疾人全生命周期的康复服务体系。</w:t>
      </w:r>
    </w:p>
    <w:p>
      <w:pPr>
        <w:pStyle w:val="10"/>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0"/>
          <w:sz w:val="32"/>
          <w:szCs w:val="32"/>
        </w:rPr>
      </w:pPr>
      <w:r>
        <w:rPr>
          <w:rFonts w:hint="eastAsia" w:ascii="楷体_GB2312" w:hAnsi="楷体_GB2312" w:eastAsia="楷体_GB2312" w:cs="楷体_GB2312"/>
          <w:b/>
          <w:bCs/>
          <w:sz w:val="32"/>
          <w:szCs w:val="32"/>
        </w:rPr>
        <w:t>（五）实施残疾人文体融合提升行动。</w:t>
      </w:r>
      <w:r>
        <w:rPr>
          <w:rFonts w:hint="eastAsia" w:ascii="仿宋_GB2312" w:hAnsi="仿宋_GB2312" w:eastAsia="仿宋_GB2312" w:cs="仿宋_GB2312"/>
          <w:sz w:val="32"/>
          <w:szCs w:val="32"/>
        </w:rPr>
        <w:t>持续深入开展“残疾人文化周”“五个一”文化进家庭等残疾人群众性文化艺术活动，加强残疾人基层文化服务，不断满足残疾人文化需求、增强残疾人精神力量。立足铅山地方文化特色，加强文化助残志愿服务。鼓励开展各类残疾人体育活动，增设适合残疾人特点的体育运动健身点，为残疾人在社区参加体育活动提供便利。发展特殊艺术，发掘与培育体育苗子和特殊艺术人才。</w:t>
      </w:r>
    </w:p>
    <w:p>
      <w:pPr>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（六）实施残疾人无障碍环境提升行动。</w:t>
      </w:r>
      <w:r>
        <w:rPr>
          <w:rFonts w:hint="eastAsia" w:ascii="仿宋_GB2312" w:hAnsi="仿宋_GB2312" w:eastAsia="仿宋_GB2312" w:cs="仿宋_GB2312"/>
          <w:sz w:val="32"/>
          <w:szCs w:val="32"/>
        </w:rPr>
        <w:t>贯彻落实国家《无障碍环境建设条例》和《江西省无障碍环境建设办法》，将无障碍环境建设纳入铅山县规划建设总体布局，推进无障碍设施建设与城市建设、经济建设同步协调发展。推进开展城市道路、公共交通、社区服务设施、公共服务设施等无障碍设施建设和改造。开展城镇无障碍环境建设提升行动，至少打造1个无障碍建设示范点。成立县级无障碍环境建设义务监督员队伍。积极组织社会各界开展无障碍环境建设体验活动，促进无障碍理念培育。大力推进精准实施困难重度残疾人家庭无障碍改造工作。探索研究旅游景区和乡村旅游无障碍建设和改造。加快推进政府门户网站、政务服务平台和网上办事大厅实现信息无障碍。</w:t>
      </w:r>
    </w:p>
    <w:p>
      <w:pPr>
        <w:pStyle w:val="6"/>
        <w:keepNext w:val="0"/>
        <w:keepLines w:val="0"/>
        <w:pageBreakBefore w:val="0"/>
        <w:kinsoku/>
        <w:overflowPunct/>
        <w:topLinePunct w:val="0"/>
        <w:autoSpaceDE/>
        <w:autoSpaceDN/>
        <w:bidi w:val="0"/>
        <w:adjustRightInd/>
        <w:snapToGrid/>
        <w:spacing w:before="0" w:beforeAutospacing="0" w:after="0" w:afterAutospacing="0" w:line="560" w:lineRule="exact"/>
        <w:ind w:firstLine="643" w:firstLineChars="200"/>
        <w:jc w:val="both"/>
        <w:rPr>
          <w:rFonts w:hint="eastAsia" w:ascii="黑体" w:hAnsi="黑体" w:eastAsia="黑体" w:cs="黑体"/>
          <w:b/>
          <w:bCs/>
          <w:sz w:val="32"/>
          <w:szCs w:val="32"/>
        </w:rPr>
      </w:pPr>
      <w:r>
        <w:rPr>
          <w:rFonts w:hint="eastAsia" w:ascii="黑体" w:hAnsi="黑体" w:eastAsia="黑体" w:cs="黑体"/>
          <w:b/>
          <w:bCs/>
          <w:sz w:val="32"/>
          <w:szCs w:val="32"/>
        </w:rPr>
        <w:t>五、主要举措</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（一）完善优惠政策，提升残疾人社会保障水平。</w:t>
      </w:r>
    </w:p>
    <w:p>
      <w:pPr>
        <w:pStyle w:val="12"/>
        <w:keepNext w:val="0"/>
        <w:keepLines w:val="0"/>
        <w:pageBreakBefore w:val="0"/>
        <w:kinsoku/>
        <w:overflowPunct/>
        <w:topLinePunct w:val="0"/>
        <w:autoSpaceDE/>
        <w:autoSpaceDN/>
        <w:bidi w:val="0"/>
        <w:adjustRightInd/>
        <w:snapToGrid/>
        <w:spacing w:beforeAutospacing="0" w:afterAutospacing="0" w:line="56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1.巩固拓展残疾人脱贫攻坚成果。</w:t>
      </w:r>
      <w:r>
        <w:rPr>
          <w:rFonts w:hint="eastAsia" w:ascii="仿宋_GB2312" w:hAnsi="仿宋_GB2312" w:eastAsia="仿宋_GB2312" w:cs="仿宋_GB2312"/>
          <w:b w:val="0"/>
          <w:bCs w:val="0"/>
          <w:sz w:val="32"/>
          <w:szCs w:val="32"/>
        </w:rPr>
        <w:t>推动巩固拓展残疾人脱贫攻坚成果同乡村振兴有效衔接，落实低收入残疾人帮扶政策。健全防止返贫动态监测和帮扶机制，及时将符合条件的残疾人家庭纳入监测和帮扶范围。筑牢兜底性社会保障基础，将脱贫人口中完全丧失劳动能力或部分丧失劳动能力且无法通过产业就业获得稳定收入的残疾人，按规定纳入农村低保或特困人员救助供养范围，做到应保尽保、应兜尽兜。持续做好残疾人易地扶贫搬迁后续帮扶和低收入残疾人小额信贷工作。在深化农村集体产权制度改革中帮助残疾人共享集体经济发展成果。完善利益联结机制，积极引导低收入残疾人家庭采取土地托管或林权、农村土地承包经营权入股等方式，参与乡村现代农业产业，家庭资产增值增收。充分发挥基层党组织在扶残助残中的重要作用，组织协调各方面资源力量加强对残疾人的关心关爱。持续做好低收入残疾人“志智双扶”工作。按照相关规定及时表彰在乡村振兴工作中涌现出的优秀残疾人典型。统筹推进城镇困难残疾人解困脱困工作。</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2.完善残疾人社会救助保障。</w:t>
      </w:r>
      <w:r>
        <w:rPr>
          <w:rFonts w:hint="eastAsia" w:ascii="仿宋_GB2312" w:hAnsi="仿宋_GB2312" w:eastAsia="仿宋_GB2312" w:cs="仿宋_GB2312"/>
          <w:kern w:val="2"/>
          <w:sz w:val="32"/>
          <w:szCs w:val="32"/>
        </w:rPr>
        <w:t>经申请，可将低收入家庭中的一二级重度残疾人和三级智力、精神残疾人参照单人户标准纳入低保范围。建立健全与铅山社会经济发展水平相适应的残疾人社会救助体制机制。按照民政部《特困人员认定办法》，将符合条件的残疾人纳入特困人员救助供养范围；进一步提高残疾人医疗救助水平，将符合条件的残疾人纳入医疗救助范围，加强医疗救助政策与基本医疗保险、大病保险的互补衔接，减轻困难残疾人医疗费用负担；加强临时救助工作，在重大突发公共事件中，做好对困难残疾人的应急性、临时性救助。按照“先救助、后甄别”的原则，为生活无着的流浪乞讨残疾人提供医疗、生活、寻亲等救助服务。</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3.加快发展残疾人照护和托养服务。</w:t>
      </w:r>
      <w:r>
        <w:rPr>
          <w:rFonts w:hint="eastAsia" w:ascii="仿宋_GB2312" w:hAnsi="仿宋_GB2312" w:eastAsia="仿宋_GB2312" w:cs="仿宋_GB2312"/>
          <w:kern w:val="2"/>
          <w:sz w:val="32"/>
          <w:szCs w:val="32"/>
        </w:rPr>
        <w:t>以专业化服务、多元化运营、规范化管理为目标，继续实施“阳光家园计划”，做好智力、精神和重度残疾人照护和托养工作，加快残疾人托养服务机构建设步伐。整合利用养老机构、医疗康复机构和残疾人服务机构等各类资源，开展困难重度失能残疾人照护和托养服务，积极拓展集中照护、日间照料、居家服务、邻里照护等多种形式托养服务，开发上门生活照料、康复训练、心理咨询、文体健身等专业服务项目，满足残疾人多样化托养服务需求，对提供服务的机构、组织和个人给予服务补助。坚持政府主导、市场主体、社会参与的原则，推进残疾人托养庇护服务社会化，采取公办民营、民办公助、委托营运、购买服务等多种方式，鼓励更多社会力量参与残疾人托养庇护机构的运营与管理。健全残疾人托养庇护评估监管体系，开展残疾人托养庇护服务机构等级评定和行业指导，实现评估结果与资金补助挂钩，以标准化推动残疾人托养庇护服务专业化、精细化。</w:t>
      </w:r>
    </w:p>
    <w:p>
      <w:pPr>
        <w:pStyle w:val="12"/>
        <w:keepNext w:val="0"/>
        <w:keepLines w:val="0"/>
        <w:pageBreakBefore w:val="0"/>
        <w:kinsoku/>
        <w:overflowPunct/>
        <w:topLinePunct w:val="0"/>
        <w:autoSpaceDE/>
        <w:autoSpaceDN/>
        <w:bidi w:val="0"/>
        <w:adjustRightInd/>
        <w:snapToGrid/>
        <w:spacing w:beforeAutospacing="0" w:afterAutospacing="0" w:line="56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4.提高残疾人保险覆盖范围。</w:t>
      </w:r>
      <w:r>
        <w:rPr>
          <w:rFonts w:hint="eastAsia" w:ascii="仿宋_GB2312" w:hAnsi="仿宋_GB2312" w:eastAsia="仿宋_GB2312" w:cs="仿宋_GB2312"/>
          <w:b w:val="0"/>
          <w:bCs w:val="0"/>
          <w:sz w:val="32"/>
          <w:szCs w:val="32"/>
        </w:rPr>
        <w:t>扩大长期护理保险覆盖面，将一、二级重度残疾人纳入长期护理保险保障范围。落实当地政府为符合条件的重度残疾人缴纳城乡居民基本养老保险费政策，为符合待遇领取条件的重度残疾人按月足额发放城乡居民基本养老保险待遇。资助符合条件的残疾人参加城乡居民基本医疗保险、落实残疾人个体工商户和安置残疾人就业单位社会保险补贴等政策，帮助残疾人按规定参加基本养老和基本医疗保险，实现应保尽保。探索为在公益性岗位任职和在残疾人托养机构入托的残疾人购买意外伤害保险，逐步完善残疾人意外伤害保障措施。督促用人单位依法为就业残疾人缴纳社会保险，保障就业残疾人享受各项社会保险待遇，加强工伤预防和工伤职工康复工作。鼓励有条件的残疾人参加意外伤害、补充养老等商业保险。</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5.完善残疾人社会福利制度。</w:t>
      </w:r>
      <w:r>
        <w:rPr>
          <w:rFonts w:hint="eastAsia" w:ascii="仿宋_GB2312" w:hAnsi="仿宋_GB2312" w:eastAsia="仿宋_GB2312" w:cs="仿宋_GB2312"/>
          <w:kern w:val="2"/>
          <w:sz w:val="32"/>
          <w:szCs w:val="32"/>
        </w:rPr>
        <w:t>全面落实困难残疾人生活补贴和重度残疾人护理补贴制度推动，建立补贴标准动态调整机制，将困难残疾人生活补贴延伸至低保边缘家庭和其他困难残疾人，将重度残疾人护理补贴延伸至三四级智力、精神残疾人。落实残疾孤儿和残疾事实无人抚养儿童福利制度，推动残疾孤儿（残疾事实无人抚养儿童）照料护理补贴标准与铅山经济社会发展水平相适应，参照特困失能人员照料护理补助标准制定。落实国家综合性消防救援队伍人员伤残优待政策。建立信息共享机制，促进残疾军人、伤残民警残疾评定标准与国家残疾人残疾分类和分级标准合理衔接，帮助残疾军人、伤残民警优先享受扶残助残政策待遇、普惠性社会保障和公共服务。推动落实低收入残疾人家庭生活用水、电、气、暖优惠补贴政策，落实持证残疾人通讯资费减半优惠政策，落实残疾人机动轮椅车燃油补贴政策。全面做好残疾人乘坐县内公共交通工具优惠与便利工作，完善重度残疾人免费乘坐政策。</w:t>
      </w:r>
    </w:p>
    <w:p>
      <w:pPr>
        <w:pStyle w:val="72"/>
        <w:keepNext w:val="0"/>
        <w:keepLines w:val="0"/>
        <w:pageBreakBefore w:val="0"/>
        <w:tabs>
          <w:tab w:val="left" w:pos="1335"/>
        </w:tabs>
        <w:kinsoku/>
        <w:overflowPunct/>
        <w:topLinePunct w:val="0"/>
        <w:autoSpaceDE/>
        <w:autoSpaceDN/>
        <w:bidi w:val="0"/>
        <w:adjustRightInd/>
        <w:snapToGrid/>
        <w:spacing w:before="0" w:beforeAutospacing="0" w:afterAutospacing="0" w:line="560" w:lineRule="exact"/>
        <w:ind w:left="0" w:right="0" w:firstLine="643" w:firstLineChars="200"/>
        <w:rPr>
          <w:rFonts w:hint="eastAsia" w:ascii="仿宋_GB2312" w:hAnsi="仿宋_GB2312" w:eastAsia="仿宋_GB2312" w:cs="仿宋_GB2312"/>
          <w:sz w:val="32"/>
          <w:szCs w:val="32"/>
          <w:lang w:val="en-US" w:bidi="ar-SA"/>
        </w:rPr>
      </w:pPr>
      <w:r>
        <w:rPr>
          <w:rFonts w:hint="eastAsia" w:ascii="仿宋_GB2312" w:hAnsi="仿宋_GB2312" w:eastAsia="仿宋_GB2312" w:cs="仿宋_GB2312"/>
          <w:b/>
          <w:bCs/>
          <w:sz w:val="32"/>
          <w:szCs w:val="32"/>
          <w:lang w:val="en-US" w:bidi="ar-SA"/>
        </w:rPr>
        <w:t>6</w:t>
      </w:r>
      <w:r>
        <w:rPr>
          <w:rFonts w:hint="eastAsia" w:ascii="仿宋_GB2312" w:hAnsi="仿宋_GB2312" w:eastAsia="仿宋_GB2312" w:cs="仿宋_GB2312"/>
          <w:b/>
          <w:bCs/>
          <w:sz w:val="32"/>
          <w:szCs w:val="32"/>
          <w:lang w:bidi="ar-SA"/>
        </w:rPr>
        <w:t>.</w:t>
      </w:r>
      <w:r>
        <w:rPr>
          <w:rFonts w:hint="eastAsia" w:ascii="仿宋_GB2312" w:hAnsi="仿宋_GB2312" w:eastAsia="仿宋_GB2312" w:cs="仿宋_GB2312"/>
          <w:b/>
          <w:bCs/>
          <w:sz w:val="32"/>
          <w:szCs w:val="32"/>
          <w:lang w:val="en-US" w:bidi="ar-SA"/>
        </w:rPr>
        <w:t>保障残疾人基本住房安全便利。</w:t>
      </w:r>
      <w:r>
        <w:rPr>
          <w:rFonts w:hint="eastAsia" w:ascii="仿宋_GB2312" w:hAnsi="仿宋_GB2312" w:eastAsia="仿宋_GB2312" w:cs="仿宋_GB2312"/>
          <w:sz w:val="32"/>
          <w:szCs w:val="32"/>
          <w:lang w:val="en-US" w:bidi="ar-SA"/>
        </w:rPr>
        <w:t>继续实施农村危房改造工作,对符合条件的农村低收入残疾人家庭应改尽改。落实农村低收入残疾人家庭危房改造在原补助标准的基础上，按照不低于2000元标准增加补助资金。保障城镇残疾人家庭基本住房需求，对符合条件的城镇残疾人家庭优先配租公租房。</w:t>
      </w:r>
      <w:r>
        <w:rPr>
          <w:rFonts w:hint="eastAsia" w:ascii="仿宋_GB2312" w:hAnsi="仿宋_GB2312" w:eastAsia="仿宋_GB2312" w:cs="仿宋_GB2312"/>
          <w:spacing w:val="-10"/>
          <w:w w:val="95"/>
          <w:sz w:val="32"/>
        </w:rPr>
        <w:t>城镇保障性住房建设、农村</w:t>
      </w:r>
      <w:r>
        <w:rPr>
          <w:rFonts w:hint="eastAsia" w:ascii="仿宋_GB2312" w:hAnsi="仿宋_GB2312" w:eastAsia="仿宋_GB2312" w:cs="仿宋_GB2312"/>
          <w:spacing w:val="-10"/>
          <w:sz w:val="32"/>
        </w:rPr>
        <w:t>危房改造统筹考虑无障碍设施设备配置。</w:t>
      </w:r>
    </w:p>
    <w:p>
      <w:pPr>
        <w:pStyle w:val="19"/>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jc w:val="both"/>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重点推进事项一：残疾人社会保障</w:t>
      </w:r>
    </w:p>
    <w:p>
      <w:pPr>
        <w:pStyle w:val="19"/>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jc w:val="both"/>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①健全防止返贫动态监测和帮扶机制。加强部门信息对接共享，强化监测预警响应，及时将符合条件的残疾人家庭纳入易返贫致贫监测范围，并重点进行跟踪走访，因人因户落实帮扶措施。</w:t>
      </w:r>
    </w:p>
    <w:p>
      <w:pPr>
        <w:pStyle w:val="19"/>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jc w:val="both"/>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②兜底保障困难重度失能残疾人基本生活。继续实施困难重度失能残疾人照护和托养服务，按照居家照护和日间照料每人每月不低于600元、机构托养每人每月不低于1000元的标准落实服务补贴，整合利用养老、残疾人服务设施等资源增强机构托养供给能力，加大居家照护人员培训力度，加强服务监管，提高服务质量，提升困难重度失能残疾人获得感、幸福感，实现困难重度失能残疾人照护和托养工作全覆盖。</w:t>
      </w:r>
    </w:p>
    <w:p>
      <w:pPr>
        <w:pStyle w:val="19"/>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jc w:val="both"/>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③落实困难残疾人生活补贴和重度残疾人护理补贴制度。建立并落实补贴标准动态调整机制，将困难残疾人生活补贴延伸至低保边缘家庭和其他困难残疾人，将重度残疾人护理补贴延伸至三四级智力、精神残疾人。</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ascii="方正楷体_GB2312" w:hAnsi="方正楷体_GB2312" w:eastAsia="方正楷体_GB2312" w:cs="方正楷体_GB2312"/>
          <w:b/>
          <w:bCs/>
          <w:kern w:val="2"/>
          <w:sz w:val="32"/>
          <w:szCs w:val="32"/>
        </w:rPr>
      </w:pPr>
      <w:r>
        <w:rPr>
          <w:rFonts w:hint="eastAsia" w:ascii="方正楷体_GB2312" w:hAnsi="方正楷体_GB2312" w:eastAsia="方正楷体_GB2312" w:cs="方正楷体_GB2312"/>
          <w:b/>
          <w:bCs/>
          <w:kern w:val="2"/>
          <w:sz w:val="32"/>
          <w:szCs w:val="32"/>
        </w:rPr>
        <w:t>（二）拓宽增收渠道，提升残疾人就业创业水平。</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1.落实残疾人就业权益。</w:t>
      </w:r>
      <w:r>
        <w:rPr>
          <w:rFonts w:hint="eastAsia" w:ascii="仿宋_GB2312" w:hAnsi="仿宋_GB2312" w:eastAsia="仿宋_GB2312" w:cs="仿宋_GB2312"/>
          <w:kern w:val="2"/>
          <w:sz w:val="32"/>
          <w:szCs w:val="32"/>
        </w:rPr>
        <w:t>认真贯彻落实《江西省残疾人就业办法》和《江西省残疾人就业保障金征收使用管理实施办法》等残疾人就业相关政策法规，积极落实残疾人分散按比例就业、集中就业制度。督促各类用人单位严格履行按比例安排残疾人就业、残疾人就业保障金缴纳等法律义务，将安置残疾人就业情况列入用人单位履行社会责任的内容，依法纳入本县公共信用信息服务平台向社会公开。加强残疾人就业促进政策与社会保障政策的衔接，享受城乡低保的残疾人首次自主就业创业的，在核算其家庭收入时扣减必要的就业成本，低保待遇延退3年。</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2.依法促进残疾人按比例就业。</w:t>
      </w:r>
      <w:r>
        <w:rPr>
          <w:rFonts w:hint="eastAsia" w:ascii="仿宋_GB2312" w:hAnsi="仿宋_GB2312" w:eastAsia="仿宋_GB2312" w:cs="仿宋_GB2312"/>
          <w:kern w:val="2"/>
          <w:sz w:val="32"/>
          <w:szCs w:val="32"/>
        </w:rPr>
        <w:t>贯彻落实残疾人按比例就业制度，持续推动党政机关、事业单位、国有企业带头安置残疾人就业，县政府残疾人工作委员会成员单位率先安置残疾人就业达到规定比例。规范残疾人按比例就业年审并实现全国联网认证，按照相关规定将未按比例安排残疾人就业且拒缴、少缴残疾人就业保障金的用人单位失信行为记入信用记录、纳入全国信用信息共享平台。建立健全用人单位按比例安排残疾人就业公示制度。全面推行企业超比例安排残疾人就业奖励制度。</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3.稳定残疾人集中就业。</w:t>
      </w:r>
      <w:r>
        <w:rPr>
          <w:rFonts w:hint="eastAsia" w:ascii="仿宋_GB2312" w:hAnsi="仿宋_GB2312" w:eastAsia="仿宋_GB2312" w:cs="仿宋_GB2312"/>
          <w:kern w:val="2"/>
          <w:sz w:val="32"/>
          <w:szCs w:val="32"/>
          <w:lang w:eastAsia="zh-CN"/>
        </w:rPr>
        <w:t>提高</w:t>
      </w:r>
      <w:r>
        <w:rPr>
          <w:rFonts w:hint="eastAsia" w:ascii="仿宋_GB2312" w:hAnsi="仿宋_GB2312" w:eastAsia="仿宋_GB2312" w:cs="仿宋_GB2312"/>
          <w:kern w:val="2"/>
          <w:sz w:val="32"/>
          <w:szCs w:val="32"/>
        </w:rPr>
        <w:t>我县盲人医疗按摩水平，盲人医疗按摩事业做到全市前列，鼓励公办二级以上医院设置盲人医疗按摩室，吸纳盲人医疗按摩人员就业。落实新修订的《盲人医疗按摩管理办法》，扶持盲人按摩业发展，鼓励医院、社区卫生服务机构设置盲人医疗按摩岗位，吸纳盲人医疗按摩人员就业，规范盲人保健按摩行业。落实残疾人集中就业单位资格认定管理办法，残疾人集中就业单位税费优惠、政府优先采购等扶持政策，加强在岗残疾人职业技能提升培训。支持非营利性残疾人集中就业机构持续发展。加大对各类残疾人辅助性就业机构的支持保障力度。</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4.扶持残疾人多种形式就业。</w:t>
      </w:r>
      <w:r>
        <w:rPr>
          <w:rFonts w:hint="eastAsia" w:ascii="仿宋_GB2312" w:hAnsi="仿宋_GB2312" w:eastAsia="仿宋_GB2312" w:cs="仿宋_GB2312"/>
          <w:kern w:val="2"/>
          <w:sz w:val="32"/>
          <w:szCs w:val="32"/>
        </w:rPr>
        <w:t>在经营场地、设施设备、社会保险、金融信贷等方面扶持残疾人自主创业、灵活就业，鼓励残疾人通过新就业形态实现就业。依托红色资源、绿色资源和特色文化旅游资源，鼓励残疾人参与文化创意产业、非物质遗产传承、振兴传统工艺等项目。鼓励各地积极开发残疾人非物质遗产传承项目的培训。鼓励特殊教育学校选送优秀的残疾人学生到非遗传承大师处进行学徒教育。积极探索“特殊教育学校+就业”融合教育模式，鼓励特殊教育学校采取创新机制，多途径提高残疾学生就业率。积极开发适合残疾人就业的公益性岗位，考核优秀的可按程序再次通过公益性岗位予以安置，岗位补贴和社保补贴期限重新计算，累计安置次数原则上不超过2次。扶持农村阳光助残就业（创业）基地。支持手工制作等残疾妇女就业创业项目。推广残疾人支持性就业项目，扶持有意愿提供支持性就业服务的社会机构，帮助智力、精神残疾人实现融合就业。扶持残疾人亲属就业创业，帮助康复儿童、托养残疾人陪同亲属就业，实现零就业残疾人家庭至少1人就业。</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5.提升残疾人就业创业技能。</w:t>
      </w:r>
      <w:r>
        <w:rPr>
          <w:rFonts w:hint="eastAsia" w:ascii="仿宋_GB2312" w:hAnsi="仿宋_GB2312" w:eastAsia="仿宋_GB2312" w:cs="仿宋_GB2312"/>
          <w:kern w:val="2"/>
          <w:sz w:val="32"/>
          <w:szCs w:val="32"/>
        </w:rPr>
        <w:t xml:space="preserve">落实《残疾人职业技能提升计划（2021-2025年）》，帮助就业年龄段内有培训需求的残疾人普遍得到相应的职业素质、就业技能、岗位技能和创业培训。继续开展农村残疾人实用技术培训。开展残疾人非遗传承、传统工艺培训，支持符合条件的残疾人技能大师（工匠）建立工作室。加大新就业形态项目培训。依托区域内现有的工业园、职校、企业、创业孵化基地等平台建设残疾人职业技能培训基地和残疾人创业孵化基地。到2025年全县范围内至少有1个示范性的残疾人职业技能培训基地和残疾人创业孵化基地。积极组织残疾人参加残疾人职业技能竞赛活动。 </w:t>
      </w:r>
    </w:p>
    <w:p>
      <w:pPr>
        <w:pStyle w:val="19"/>
        <w:keepNext w:val="0"/>
        <w:keepLines w:val="0"/>
        <w:pageBreakBefore w:val="0"/>
        <w:widowControl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beforeAutospacing="0" w:afterAutospacing="0" w:line="520" w:lineRule="exact"/>
        <w:ind w:firstLine="560" w:firstLineChars="200"/>
        <w:jc w:val="both"/>
        <w:textAlignment w:val="auto"/>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重点推进事项二：残疾人就业服务</w:t>
      </w:r>
    </w:p>
    <w:p>
      <w:pPr>
        <w:pStyle w:val="19"/>
        <w:keepNext w:val="0"/>
        <w:keepLines w:val="0"/>
        <w:pageBreakBefore w:val="0"/>
        <w:widowControl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beforeAutospacing="0" w:afterAutospacing="0" w:line="520" w:lineRule="exact"/>
        <w:ind w:firstLine="560" w:firstLineChars="200"/>
        <w:jc w:val="both"/>
        <w:textAlignment w:val="auto"/>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①建设农村残疾人就业帮扶基地。依托农村“双创”基地、家庭农场、农民合作社等新型农业经营主体，扶持一批带动辐射能力强、经营管理规范、具有一定规模的阳光助残就业（创业）基地，开展残疾人就业帮扶，带动残疾人稳定就业、生产增收。</w:t>
      </w:r>
    </w:p>
    <w:p>
      <w:pPr>
        <w:pStyle w:val="19"/>
        <w:keepNext w:val="0"/>
        <w:keepLines w:val="0"/>
        <w:pageBreakBefore w:val="0"/>
        <w:widowControl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beforeAutospacing="0" w:afterAutospacing="0" w:line="520" w:lineRule="exact"/>
        <w:ind w:firstLine="560" w:firstLineChars="200"/>
        <w:jc w:val="both"/>
        <w:textAlignment w:val="auto"/>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②建设残疾人职业技能培训和残疾人创业孵化基地。依托企业、职业院校、社会培训机构等，建设残疾人职业技能培训和残疾人创业孵化基地，打造残疾人职业技能培训、实习见习和就业创业示范服务平台。</w:t>
      </w:r>
    </w:p>
    <w:p>
      <w:pPr>
        <w:pStyle w:val="19"/>
        <w:keepNext w:val="0"/>
        <w:keepLines w:val="0"/>
        <w:pageBreakBefore w:val="0"/>
        <w:widowControl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beforeAutospacing="0" w:afterAutospacing="0" w:line="520" w:lineRule="exact"/>
        <w:ind w:firstLine="560" w:firstLineChars="200"/>
        <w:jc w:val="both"/>
        <w:textAlignment w:val="auto"/>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③扶持盲人按摩业发展。大力推进盲人医疗按摩人员在医院、社区卫生服务机构等就业执业，公办二级以上医院要设置盲人医疗按摩室，并至少安排1名盲人医疗按摩人员就业。完善职称评定有关规定。制定盲人保健按摩有关规定，促进盲人保健按摩行业规范化、标准化、专业化、品牌化发展。</w:t>
      </w:r>
    </w:p>
    <w:p>
      <w:pPr>
        <w:pStyle w:val="19"/>
        <w:keepNext w:val="0"/>
        <w:keepLines w:val="0"/>
        <w:pageBreakBefore w:val="0"/>
        <w:widowControl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beforeAutospacing="0" w:afterAutospacing="0" w:line="520" w:lineRule="exact"/>
        <w:ind w:firstLine="560" w:firstLineChars="200"/>
        <w:jc w:val="both"/>
        <w:textAlignment w:val="auto"/>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④支持残疾人新就业形态发展。鼓励互联网平台企业、中介服务机构等帮助残疾人开展网络零售、云客服、直播带货、物流快递、小店经济等新形态就业。</w:t>
      </w:r>
    </w:p>
    <w:p>
      <w:pPr>
        <w:pStyle w:val="19"/>
        <w:keepNext w:val="0"/>
        <w:keepLines w:val="0"/>
        <w:pageBreakBefore w:val="0"/>
        <w:widowControl w:val="0"/>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beforeAutospacing="0" w:afterAutospacing="0" w:line="520" w:lineRule="exact"/>
        <w:ind w:firstLine="560" w:firstLineChars="200"/>
        <w:jc w:val="both"/>
        <w:textAlignment w:val="auto"/>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⑤积极开发残疾人公益性岗位。地方设立的乡村保洁员、水管员、护路员、生态护林员、社会救助协理员、农家书屋管理员、社区服务人员等公益性岗位优先安排残疾人。</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（三）推广融合教育，提升残疾人特殊教育水平。</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highlight w:val="yellow"/>
        </w:rPr>
      </w:pPr>
      <w:r>
        <w:rPr>
          <w:rFonts w:hint="eastAsia" w:ascii="仿宋_GB2312" w:hAnsi="仿宋_GB2312" w:eastAsia="仿宋_GB2312" w:cs="仿宋_GB2312"/>
          <w:b/>
          <w:bCs/>
          <w:kern w:val="2"/>
          <w:sz w:val="32"/>
          <w:szCs w:val="32"/>
        </w:rPr>
        <w:t>1.健全残疾人特殊教育体系。</w:t>
      </w:r>
      <w:r>
        <w:rPr>
          <w:rFonts w:hint="eastAsia" w:ascii="仿宋_GB2312" w:hAnsi="仿宋_GB2312" w:eastAsia="仿宋_GB2312" w:cs="仿宋_GB2312"/>
          <w:kern w:val="2"/>
          <w:sz w:val="32"/>
          <w:szCs w:val="32"/>
        </w:rPr>
        <w:t>贯彻落实《江西省第三期特殊教育提升计划》。巩固提高残疾儿童少年义务教育普及水平，做好控辍保学。发挥残疾人教育专家委员会作用，建立随班就读和送教上门机制，实施适龄残疾儿童少年“一人一案”科学教育安置。不断完善融合教育政策，健全普通学校随班就读支持保障体系，提高随班就读教育教学质量。改善特殊教育学校办学条件，加强特殊教育学校规范化、校园无障碍环境建设。以义务教育为重点，推动特殊教育向学前和高中、高等教育延伸，加快发展非义务教育阶段特殊教育。支持符合条件的儿童福利机构单独设立特教班、特教幼儿园、特教学校开展特殊教育。探索医教、康教相结合的残疾儿童学前教育，鼓励残疾儿童康复机构对残疾儿童开展规范学前教育。加快发展以职业教育为重点的残疾人高中阶段教育，使完成义务教育且有意愿的残疾青少年都能接受适宜的中等职业教育。加快发展残疾人中高等职业教育，鼓励社会力量、民办教学机构创办残疾人中高等职业教育（培训）学校（院校）。为残疾学生参加国家教育考试和部分职业考试提供合理便利。</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2.提升残疾人特殊教育质量。</w:t>
      </w:r>
      <w:r>
        <w:rPr>
          <w:rFonts w:hint="eastAsia" w:ascii="仿宋_GB2312" w:hAnsi="仿宋_GB2312" w:eastAsia="仿宋_GB2312" w:cs="仿宋_GB2312"/>
          <w:kern w:val="2"/>
          <w:sz w:val="32"/>
          <w:szCs w:val="32"/>
        </w:rPr>
        <w:t>根据残疾学生规模、类型、分布等情况，因地制宜合理配置特殊教育资源。支持有条件的特殊教育学校发挥融合教育资源中心作用，为残疾人提供教育服务，开展残疾人融合教育示范区、示范校和优秀教育教学案例遴选，发挥示范引领作用，提升融合教育质量。推行新课标教材，改革教学教研，建立学校、家庭、社会协同育人机制。科学设置残疾学生课程，促进残疾儿童少年德智体美劳全面发展。落实义务教育阶段特殊教育学校生均公用经费，随班就读、特殊教育班和送教上门的义务教育阶段生均公用标准按特殊教育学校执行。</w:t>
      </w:r>
      <w:r>
        <w:rPr>
          <w:rFonts w:hint="eastAsia" w:ascii="仿宋_GB2312" w:hAnsi="仿宋_GB2312" w:eastAsia="仿宋_GB2312" w:cs="仿宋_GB2312"/>
          <w:color w:val="000000" w:themeColor="text1"/>
          <w:kern w:val="2"/>
          <w:sz w:val="32"/>
          <w:szCs w:val="32"/>
          <w14:textFill>
            <w14:solidFill>
              <w14:schemeClr w14:val="tx1"/>
            </w14:solidFill>
          </w14:textFill>
        </w:rPr>
        <w:t>探索推进特殊教育学校15年一贯制办学，探索特殊教育学校根据本县残疾人数量及需要设置高中教育部（班）。</w:t>
      </w:r>
      <w:r>
        <w:rPr>
          <w:rFonts w:hint="eastAsia" w:ascii="仿宋_GB2312" w:hAnsi="仿宋_GB2312" w:eastAsia="仿宋_GB2312" w:cs="仿宋_GB2312"/>
          <w:kern w:val="2"/>
          <w:sz w:val="32"/>
          <w:szCs w:val="32"/>
        </w:rPr>
        <w:t xml:space="preserve">加强特殊教育师资队伍建设，创新培养方式，按照国家和省级有关规定开展表彰奖励，提升教书育人能力素质。落实特殊教育师生比配备标准，招收残疾学生5人以上的普通学校要配备专职特殊教育教师。提高特教教师薪酬待遇，在绩效考核、职称评定、优秀教师评选中给予适当倾斜。  </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kern w:val="2"/>
          <w:sz w:val="32"/>
          <w:szCs w:val="32"/>
        </w:rPr>
        <w:t>3.加强残疾人特殊教育保障。</w:t>
      </w:r>
      <w:r>
        <w:rPr>
          <w:rFonts w:hint="eastAsia" w:ascii="仿宋_GB2312" w:hAnsi="仿宋_GB2312" w:eastAsia="仿宋_GB2312" w:cs="仿宋_GB2312"/>
          <w:kern w:val="2"/>
          <w:sz w:val="32"/>
          <w:szCs w:val="32"/>
        </w:rPr>
        <w:t>继续对家庭经济困难残疾学生实行高中阶段免费教育政策。促进普通学校与特教学校融合，建立资源共享、责任共担、互相支撑的发展机制，为残疾学生提供辅助器具、特殊学习用品、康复训练和无障碍等支持服务，满足残疾学生融</w:t>
      </w:r>
      <w:r>
        <w:rPr>
          <w:rFonts w:hint="eastAsia" w:ascii="仿宋_GB2312" w:hAnsi="仿宋_GB2312" w:eastAsia="仿宋_GB2312" w:cs="仿宋_GB2312"/>
          <w:color w:val="000000" w:themeColor="text1"/>
          <w:kern w:val="2"/>
          <w:sz w:val="32"/>
          <w:szCs w:val="32"/>
          <w14:textFill>
            <w14:solidFill>
              <w14:schemeClr w14:val="tx1"/>
            </w14:solidFill>
          </w14:textFill>
        </w:rPr>
        <w:t>合教育多样化需求。落实从学前到研究生教育全覆盖的学生资助政策，对在籍在校家庭经济困难的残疾学生（幼儿）予以资助，优先保障家庭经济困难残疾学生。对残疾人学生助学补助力度做到全市前列，对我县范围内考取了高等教育院校的残疾人考生提供不低于3000元/人的新生入学助学金。认真落实《江西省教师资格申请人员体检办法（修订）》。支持残疾毕业生从事特殊教育工作。加强特殊教育督导和质量监测评估。实施第二期国家手语和盲文规范化行动计划，加快推广国家通用手语和国家通用盲文。加强各地通用手语和通用盲文骨干师资队伍培养。鼓励各地举办国家通用手语和国家通用盲文技能比赛。鼓励有条件的学前教育机构开展听力残疾幼儿学习国家通用手语的试点，促进融合教育学校设立手语兴趣课。</w:t>
      </w:r>
    </w:p>
    <w:p>
      <w:pPr>
        <w:pStyle w:val="19"/>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jc w:val="both"/>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重点推进事项三：残疾人教育</w:t>
      </w:r>
    </w:p>
    <w:p>
      <w:pPr>
        <w:pStyle w:val="19"/>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jc w:val="both"/>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①开展残疾儿童学前康复教育。鼓励普通幼儿园招收具有接受普通教育能力的残疾幼儿，按规定对残疾儿童接受学前教育予以资助。加强公办残疾儿童学前康复教育机构建设。支持特殊教育学校、残疾儿童康复机构和儿童福利机构开展学前康复教育。鼓励有条件的乡镇建立残疾儿童学前康复教育机构。</w:t>
      </w:r>
    </w:p>
    <w:p>
      <w:pPr>
        <w:pStyle w:val="19"/>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jc w:val="both"/>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②加快发展残疾人职业（技工）教育。支持普通职业（技工）院校招收具有接受普通教育能力的残疾学生。支持特殊教育学校与普通职业院校联合开展残疾人职业教育。对特殊教育学校开展残疾人职业技能教育及培训予以扶持，落实不低于5%的残疾人就业保障金支持残疾人职业教育政策。积极发展和完善残疾人中高等职业教育，加强中高等职业院校（含特教学校中职部）实训基地建设，为残疾学生实习实训提供保障和便利。</w:t>
      </w:r>
    </w:p>
    <w:p>
      <w:pPr>
        <w:pStyle w:val="19"/>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jc w:val="both"/>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③推广融合教育。加强特殊教育资源中心、资源教室建设，招收5人以上残疾学生的普通学校应设置随班就读区域资源中心或特殊教育资源教室，配备必要的教学、康复训练设施设备和资源教师及专业人员。普通义务教育学校应当按照就近、便利的原则，接收具有接受普通教育能力的残疾适龄儿童、少年随班就读。残疾儿童、少年入学年龄可以适当放宽，监护人应当主动送其入学。普通幼儿教育机构应当接收能适应其生活的残疾幼儿，实施融合教育。</w:t>
      </w:r>
    </w:p>
    <w:p>
      <w:pPr>
        <w:pStyle w:val="19"/>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jc w:val="both"/>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④加强特殊教育师资培养。鼓励依托现有特殊教育和康复资源等开展孤独症儿童教育。加强特殊教育督导和质量监测评估，实施特殊教育学校校长、特殊教育骨干教师和融合教育骨干教师培训项目。推行特殊教育教师从业资格证书。支持高校残疾毕业生从事特殊教育事业。</w:t>
      </w:r>
    </w:p>
    <w:p>
      <w:pPr>
        <w:pStyle w:val="19"/>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jc w:val="both"/>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⑤推广国家通用手语和国家通用盲文。丰富国家通用手语，加强手语翻译认证审核和注册管理，开展面向公共服务业的国家通用手语推广。加强国家通用手语和国家通用盲文的人才队伍培养，加大手语翻译人才培养力度，开展残联系统残疾人工作者国家通用手语培训，推动组建专业化手语翻译人才队伍。推进国家通用手语、通用盲文在特殊教育教材的应用。将手语和盲文服务纳入政府购买服务项目，支持有资质的社会组织提供手语和盲文社会服务。</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（四）实施精准服务，提升残疾人康复服务水平。</w:t>
      </w:r>
    </w:p>
    <w:p>
      <w:pPr>
        <w:pStyle w:val="19"/>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textAlignment w:val="baseline"/>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1.强化残疾预防。</w:t>
      </w:r>
      <w:r>
        <w:rPr>
          <w:rFonts w:hint="eastAsia" w:ascii="仿宋_GB2312" w:hAnsi="仿宋_GB2312" w:eastAsia="仿宋_GB2312" w:cs="仿宋_GB2312"/>
          <w:kern w:val="2"/>
          <w:sz w:val="32"/>
          <w:szCs w:val="32"/>
        </w:rPr>
        <w:t>优化政府主导、部门协同、社会参与的残疾预防工作格局，坚持普遍预防和重点防控相结合，压实相关部门管理责任。结合“残疾预防日”“预防出生缺陷日”“爱眼日”“爱耳日”“全国防灾减灾日”等节点，广泛开展残疾预防宣传教育，形成全人群、全生命周期的残疾预防意识。加强出生缺陷综合防治，构建覆盖城乡居民，涵盖婚前、孕前、孕期、新生儿和儿童各阶段的出生缺陷防治体系，继续针对先天性结构畸形等疾病实施干预救助项目，预防和减少出生缺陷、发育障碍致残。以 0-6 岁儿童早期筛查、早期诊断、早期康复为重点，及时发现疑似残疾人，适时开展康复服务。</w:t>
      </w:r>
    </w:p>
    <w:p>
      <w:pPr>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2.加强残疾人健康服务。</w:t>
      </w:r>
      <w:r>
        <w:rPr>
          <w:rFonts w:hint="eastAsia" w:ascii="仿宋_GB2312" w:hAnsi="仿宋_GB2312" w:eastAsia="仿宋_GB2312" w:cs="仿宋_GB2312"/>
          <w:sz w:val="32"/>
          <w:szCs w:val="32"/>
        </w:rPr>
        <w:t>将残疾人健康管理全面纳入基本公共卫生服务，扩展家庭医生签约服务，丰富残疾人个性化服务内容，将残疾人康复服务知识纳入家庭医生培训内容。落实29项医疗康复项目纳入基本医保支付范围政策，按规定做好城乡居民重性精神病药物维持治疗参保患者门诊保障工作。关注心理健康，积极开展残疾人群体心理健康教育服务，持续提升残疾人群体心理健康水平。关注残疾妇女健康，开展生殖健康服务。将残疾人健康状况、卫生服务需求与利用等纳入国家卫生服务调查，加强残疾人健康状况评估调查。推动残疾人社区康复纳入社区公共服务体系，推广开展脊髓损伤康复“希望之家”、中途失明者“光明之家”、精神障碍患者家属专家交流互助等残疾人自助、互助康复，为残疾人就近就便提供基本康复医疗、公共卫生、康复护理等个性化服务。</w:t>
      </w:r>
    </w:p>
    <w:p>
      <w:pPr>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3.提升残疾人康复服务专业化水平。</w:t>
      </w:r>
      <w:r>
        <w:rPr>
          <w:rFonts w:hint="eastAsia" w:ascii="仿宋_GB2312" w:hAnsi="仿宋_GB2312" w:eastAsia="仿宋_GB2312" w:cs="仿宋_GB2312"/>
          <w:sz w:val="32"/>
          <w:szCs w:val="32"/>
        </w:rPr>
        <w:t>继续实施残疾人精准康复服务行动，增加残疾人基本康复服务供给，确保到2025年残疾人基本康复服务覆盖率达到85%。落实残疾儿童康复救助制度，推进残疾儿童康复救助政策提标扩面，努力实现残疾儿童康复救助“应救尽救，确保到2025年0-6岁残疾儿童普遍享有基本康复服务。强化精神卫生综合管理服务，广泛开展精神障碍社区康复。健全综合医院康复医学科、康复医院（康复医疗中心）、基层医疗卫生机构三级康复医疗服务体系。加大全县残疾人康复机构专业人才队伍规范化培训力度,逐步实现各级残疾人康复机构所有在岗及新进康复专业技术人员全面接受规范化培训。</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textAlignment w:val="baseline"/>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4.推进残疾人康复机构规范化建设。</w:t>
      </w:r>
      <w:r>
        <w:rPr>
          <w:rFonts w:hint="eastAsia" w:ascii="仿宋_GB2312" w:hAnsi="仿宋_GB2312" w:eastAsia="仿宋_GB2312" w:cs="仿宋_GB2312"/>
          <w:kern w:val="2"/>
          <w:sz w:val="32"/>
          <w:szCs w:val="32"/>
        </w:rPr>
        <w:t>贯彻落实《关于加快推进康复医疗工作发展的意见》，加强康复医院、康复医疗中心和综合医院康复医学科建设。加强县级医院和基层医疗机构康复医疗能力建设，支持有条件的基层医疗机构开设康复医疗门诊，为残疾人提供便捷、专业的康复医疗服务。进一步完善康复服务体系，建立医疗机构与专业康复机构双向转诊机制。落实巩固残疾儿童康复机构准入制和协议管理工作，规范残疾儿童康复服务评估专家库管理，支持建立和培育残疾儿童康复示范机构。加强儿童福利、精神卫生福利和工伤康复机构建设，增强面向残疾孤儿、精神残疾人、工伤致残人员的康复服务能力。支持特殊教育学校和普通学校资源教室配备满足残疾学生需求的教育教学和康复训练等仪器设备，优先为残疾学生提供康复辅助器具适配及服务。</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textAlignment w:val="baseline"/>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5.优化康复辅助器具服务能力。</w:t>
      </w:r>
      <w:r>
        <w:rPr>
          <w:rFonts w:hint="eastAsia" w:ascii="仿宋_GB2312" w:hAnsi="仿宋_GB2312" w:eastAsia="仿宋_GB2312" w:cs="仿宋_GB2312"/>
          <w:kern w:val="2"/>
          <w:sz w:val="32"/>
          <w:szCs w:val="32"/>
        </w:rPr>
        <w:t>推广安全适用的基本型康复辅助器具，增强优质康复辅助器具供给能力，推动康复辅助器具服务提质升级。鼓励实施公益性康复辅助器具适配项目。落实残疾人适配基本型辅助器具补贴制度，确保到2025年基本型辅助器具适配服务率达到85%。支持社会力量及医疗、康复、养老机构和残疾人教育、就业、托养机构开展辅助器具适配服务。推广社区辅助器具租赁、回收、维修等服务。进一步推动残疾人辅助器具适配评估专业化、社会化服务，为全县残疾人更好地使用辅助器具提供技术保障。应用大数据等技术手段，及时掌握辅助器具需求和辅助器具服务情况，提高适配服务能力和服务水平。</w:t>
      </w:r>
    </w:p>
    <w:p>
      <w:pPr>
        <w:pStyle w:val="12"/>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642"/>
        <w:jc w:val="both"/>
        <w:textAlignment w:val="baseline"/>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rPr>
        <w:t>①开展残疾人精准康复服务行动。开展残疾人基本服务状况和康复需求调查、评估，为残疾人普遍提供基本康复服务。针对特困残疾人和孤残儿童实施“福康工程”“孤儿医疗康复明天计划”等康复服务项目。</w:t>
      </w:r>
    </w:p>
    <w:p>
      <w:pPr>
        <w:pStyle w:val="12"/>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642"/>
        <w:jc w:val="both"/>
        <w:textAlignment w:val="baseline"/>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rPr>
        <w:t>②实施残疾儿童康复救助。为符合条件的残疾儿童提供手术、辅助器具适配、康复训练等服务。逐步扩大残疾儿童康复救助年龄范围，放宽对救助对象家庭经济条件的限制，合理确定救助标准，提高康复质量。</w:t>
      </w:r>
    </w:p>
    <w:p>
      <w:pPr>
        <w:pStyle w:val="12"/>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642"/>
        <w:jc w:val="both"/>
        <w:textAlignment w:val="baseline"/>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rPr>
        <w:t>③开展残疾人基本型辅助器具适配服务。为符合条件的残疾人适配基本型辅助器具提供补贴，确保到2025年基本型辅助器具适配服务率达到85%。</w:t>
      </w:r>
    </w:p>
    <w:p>
      <w:pPr>
        <w:pStyle w:val="12"/>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642"/>
        <w:jc w:val="both"/>
        <w:textAlignment w:val="baseline"/>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rPr>
        <w:t>④推进精神卫生综合管理服务。开展严重精神障碍患者日常发现、登记报告、随访管理、服药指导、社区康复、心理支持和疏导等服务。健全精神障碍社区康复服务体系，开展精神障碍社区康复服务。</w:t>
      </w:r>
    </w:p>
    <w:p>
      <w:pPr>
        <w:pStyle w:val="12"/>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642"/>
        <w:jc w:val="both"/>
        <w:textAlignment w:val="baseline"/>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rPr>
        <w:t>⑤加强康复专业人才培养。加强康复医疗人才队伍建设，推进全省康复专业技术人员规范化培训基地建设，将康复专业纳入全科医生、家庭医生、村医等培养培训内容。</w:t>
      </w:r>
    </w:p>
    <w:p>
      <w:pPr>
        <w:pStyle w:val="12"/>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642"/>
        <w:jc w:val="both"/>
        <w:textAlignment w:val="baseline"/>
        <w:rPr>
          <w:rFonts w:ascii="方正仿宋_GB2312" w:hAnsi="方正仿宋_GB2312" w:eastAsia="方正仿宋_GB2312" w:cs="方正仿宋_GB2312"/>
          <w:b w:val="0"/>
          <w:sz w:val="28"/>
          <w:szCs w:val="28"/>
        </w:rPr>
      </w:pPr>
      <w:r>
        <w:rPr>
          <w:rFonts w:hint="eastAsia" w:ascii="仿宋_GB2312" w:hAnsi="仿宋_GB2312" w:eastAsia="仿宋_GB2312" w:cs="仿宋_GB2312"/>
          <w:b w:val="0"/>
          <w:sz w:val="28"/>
          <w:szCs w:val="28"/>
        </w:rPr>
        <w:t>⑥推进残疾人社区康复服务。贯彻落实《残疾人社区康复工作标准》和《精神障碍社区康复服务工作规范》，推动各地将残疾人社区康复纳入社区公共服务体系。规范化建设一批社区康复站,通过政府购买服务等方式，有效开展康复指导、日常生活能力训练、康复护理等社区康复工作。</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（五）围绕共建共享，提升残疾人文化体育服务水平</w:t>
      </w:r>
      <w:r>
        <w:rPr>
          <w:rFonts w:hint="eastAsia" w:ascii="楷体_GB2312" w:hAnsi="楷体_GB2312" w:eastAsia="楷体_GB2312" w:cs="楷体_GB2312"/>
          <w:sz w:val="32"/>
          <w:szCs w:val="32"/>
        </w:rPr>
        <w:t>。</w:t>
      </w:r>
    </w:p>
    <w:p>
      <w:pPr>
        <w:keepNext w:val="0"/>
        <w:keepLines w:val="0"/>
        <w:pageBreakBefore w:val="0"/>
        <w:widowControl/>
        <w:kinsoku/>
        <w:overflowPunct/>
        <w:topLinePunct w:val="0"/>
        <w:autoSpaceDE/>
        <w:autoSpaceDN/>
        <w:bidi w:val="0"/>
        <w:adjustRightInd/>
        <w:snapToGrid/>
        <w:spacing w:beforeAutospacing="0" w:afterAutospacing="0" w:line="560" w:lineRule="exact"/>
        <w:ind w:firstLine="622" w:firstLineChars="20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rPr>
        <w:t>1.将残疾人文化纳入全县公共文化服务体系建设。</w:t>
      </w:r>
      <w:r>
        <w:rPr>
          <w:rFonts w:hint="eastAsia" w:ascii="仿宋_GB2312" w:hAnsi="仿宋_GB2312" w:eastAsia="仿宋_GB2312" w:cs="仿宋_GB2312"/>
          <w:color w:val="000000"/>
          <w:kern w:val="0"/>
          <w:sz w:val="31"/>
          <w:szCs w:val="31"/>
        </w:rPr>
        <w:t>积极组织和实施“残疾人文化周”、文化进残疾人家庭“五个一”等文化助残项目，加强服务残疾人的文化公共设施建设，丰富面向残疾人的公共文化服务，推动将残疾人文化活动融入基层公共文化机构日常活动，不断提升残疾人享有公共文化服务的水平，促进残疾人公共文化服务均衡、高质量发展。充分利用网络平台、图书馆、博物馆、文化馆（站）和公园、广场等公共文化场所和机构，为基层残疾人参与文化活动搭建更多平台，组织举办文艺演出、经典诵读、阅读分享、手工艺制作等体验式、互动式的公共阅读和文化艺术普及活动，帮助广大残疾人走出家门、参与活动、融入社会</w:t>
      </w:r>
    </w:p>
    <w:p>
      <w:pPr>
        <w:keepNext w:val="0"/>
        <w:keepLines w:val="0"/>
        <w:pageBreakBefore w:val="0"/>
        <w:kinsoku/>
        <w:overflowPunct/>
        <w:topLinePunct w:val="0"/>
        <w:autoSpaceDE/>
        <w:autoSpaceDN/>
        <w:bidi w:val="0"/>
        <w:adjustRightInd/>
        <w:snapToGrid/>
        <w:spacing w:beforeAutospacing="0" w:afterAutospacing="0" w:line="560" w:lineRule="exact"/>
        <w:ind w:firstLine="643" w:firstLineChars="200"/>
        <w:rPr>
          <w:rFonts w:hint="eastAsia" w:ascii="仿宋_GB2312" w:hAnsi="仿宋_GB2312" w:eastAsia="仿宋_GB2312" w:cs="仿宋_GB2312"/>
          <w:bCs/>
          <w:sz w:val="32"/>
          <w:szCs w:val="32"/>
        </w:rPr>
      </w:pPr>
      <w:r>
        <w:rPr>
          <w:rFonts w:hint="eastAsia" w:ascii="仿宋_GB2312" w:hAnsi="仿宋_GB2312" w:eastAsia="仿宋_GB2312" w:cs="仿宋_GB2312"/>
          <w:b/>
          <w:bCs/>
          <w:sz w:val="32"/>
          <w:szCs w:val="32"/>
        </w:rPr>
        <w:t>2.推广多样性残疾人体育健身活动。</w:t>
      </w:r>
      <w:r>
        <w:rPr>
          <w:rFonts w:hint="eastAsia" w:ascii="仿宋_GB2312" w:hAnsi="仿宋_GB2312" w:eastAsia="仿宋_GB2312" w:cs="仿宋_GB2312"/>
          <w:sz w:val="32"/>
          <w:szCs w:val="32"/>
        </w:rPr>
        <w:t>实施残疾人康复健身体育行动，将残疾人作为重点人群纳入全民健身公共服务体系建设，促进残健融合。深入推进残疾人康复体育和健身体育进社区、进乡村，进家庭。稳步推进残疾人体育健身示范点建设，充分发挥示范和辐射作用，引导残疾人积极参与体育健身活动。举办不同层次和类别的残疾人康复健身体育活动，推广残疾人康复健身体育项目和方法，推动残疾人体育健身活动逐步常态化。支持残疾人体育项目训练，积极选拔、输送优秀残疾人运动员苗子。</w:t>
      </w:r>
    </w:p>
    <w:p>
      <w:pPr>
        <w:pStyle w:val="12"/>
        <w:keepNext w:val="0"/>
        <w:keepLines w:val="0"/>
        <w:pageBreakBefore w:val="0"/>
        <w:kinsoku/>
        <w:overflowPunct/>
        <w:topLinePunct w:val="0"/>
        <w:autoSpaceDE/>
        <w:autoSpaceDN/>
        <w:bidi w:val="0"/>
        <w:adjustRightInd/>
        <w:snapToGrid/>
        <w:spacing w:beforeAutospacing="0" w:afterAutospacing="0" w:line="56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3.助力优化扶残助残社会环境。</w:t>
      </w:r>
      <w:r>
        <w:rPr>
          <w:rFonts w:hint="eastAsia" w:ascii="仿宋_GB2312" w:hAnsi="仿宋_GB2312" w:eastAsia="仿宋_GB2312" w:cs="仿宋_GB2312"/>
          <w:b w:val="0"/>
          <w:bCs w:val="0"/>
          <w:sz w:val="32"/>
          <w:szCs w:val="32"/>
        </w:rPr>
        <w:t>将扶残助残纳入精神文明创建内容和全市残联系统宣传工作大局，大力弘扬人道主义思想和残疾人“平等、参与、共享”的现代文明理念。利用报刊、广播、电视、微博、微信公众号等各种媒体矩阵作用，大力宣传优秀残疾人的自强不息精神，宣传社会各界扶残助残的先进事迹，为残疾人平等参与社会生活营造良好的社会舆论环境。组织开展形式多样的扶残助残、志愿助残、文化助残和关爱残疾人活动，着力培育和践行社会主义核心价值观，唱响爱党爱国爱社会主义的时代主旋律，弘扬人道主义精神和中华民族优良传统，进一步推动全社会形成扶残助残的浓厚氛围。</w:t>
      </w:r>
    </w:p>
    <w:p>
      <w:pPr>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重点推进事项五：残疾人文化体育服务</w:t>
      </w:r>
    </w:p>
    <w:p>
      <w:pPr>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①开展“五个一”文化进家庭、进社区项目。为重度残疾人家庭开展“五个一”（读一本书、看一场电影、游一次园、参观一次展览、参加一次文化活动）文化服务。依托新时代文明实践中心和基层文化设施，增添必备的文化设备。</w:t>
      </w:r>
    </w:p>
    <w:p>
      <w:pPr>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②发展特殊艺术。鼓励残疾人参与艺术创作，支持残疾儿童少年艺术教育</w:t>
      </w:r>
    </w:p>
    <w:p>
      <w:pPr>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③实施残疾人康复健身体育行动。推广残疾人康复健身体育项目和方法，推动残疾人康复体育和健身体育广泛开展。设立残疾人自强康复健身示范点，培养残疾人康复健身体育指导员。为重度残疾人提供康复体育进家庭服务。组织举办“残疾人健身周”“全国特奥日”等群众性体育品牌活动。</w:t>
      </w:r>
    </w:p>
    <w:p>
      <w:pPr>
        <w:pStyle w:val="10"/>
        <w:keepNext w:val="0"/>
        <w:keepLines w:val="0"/>
        <w:pageBreakBefore w:val="0"/>
        <w:kinsoku/>
        <w:overflowPunct/>
        <w:topLinePunct w:val="0"/>
        <w:autoSpaceDE/>
        <w:autoSpaceDN/>
        <w:bidi w:val="0"/>
        <w:adjustRightInd/>
        <w:snapToGrid/>
        <w:spacing w:beforeAutospacing="0" w:afterAutospacing="0" w:line="560" w:lineRule="exact"/>
        <w:ind w:firstLine="643" w:firstLineChars="200"/>
        <w:jc w:val="both"/>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（六）依法保障残疾人权益，积极营造残疾人平等参与环境。</w:t>
      </w:r>
    </w:p>
    <w:p>
      <w:pPr>
        <w:keepNext w:val="0"/>
        <w:keepLines w:val="0"/>
        <w:pageBreakBefore w:val="0"/>
        <w:widowControl/>
        <w:kinsoku/>
        <w:wordWrap/>
        <w:overflowPunct/>
        <w:topLinePunct w:val="0"/>
        <w:autoSpaceDE/>
        <w:autoSpaceDN/>
        <w:bidi w:val="0"/>
        <w:adjustRightInd/>
        <w:snapToGrid/>
        <w:spacing w:beforeAutospacing="0" w:afterAutospacing="0" w:line="580" w:lineRule="exact"/>
        <w:ind w:firstLine="622"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rPr>
        <w:t>1.加强残疾人法治服务能力。</w:t>
      </w:r>
      <w:r>
        <w:rPr>
          <w:rFonts w:hint="eastAsia" w:ascii="仿宋_GB2312" w:hAnsi="仿宋_GB2312" w:eastAsia="仿宋_GB2312" w:cs="仿宋_GB2312"/>
          <w:color w:val="000000"/>
          <w:kern w:val="0"/>
          <w:sz w:val="31"/>
          <w:szCs w:val="31"/>
        </w:rPr>
        <w:t>完善残疾人法律援助工作机制，落实关于保障残疾人合法权益的相关法律法规政策，做好助残法律服务工作。将《中华人民共和国残疾人保障法》《江西省残疾人保障条例》等法律法规纳入全县“八五”普法重点任务，用创新方法手段开展法治宣传教育，切实提高残疾人在普法活动中的</w:t>
      </w:r>
      <w:r>
        <w:rPr>
          <w:rFonts w:hint="eastAsia" w:ascii="仿宋_GB2312" w:hAnsi="仿宋_GB2312" w:eastAsia="仿宋_GB2312" w:cs="仿宋_GB2312"/>
          <w:sz w:val="32"/>
          <w:szCs w:val="32"/>
        </w:rPr>
        <w:t>配合各级人大、政协开展残疾人保障法律法规执法检查和调研，</w:t>
      </w:r>
      <w:r>
        <w:rPr>
          <w:rFonts w:hint="eastAsia" w:ascii="仿宋_GB2312" w:hAnsi="仿宋_GB2312" w:eastAsia="仿宋_GB2312" w:cs="仿宋_GB2312"/>
          <w:color w:val="000000"/>
          <w:kern w:val="0"/>
          <w:sz w:val="31"/>
          <w:szCs w:val="31"/>
        </w:rPr>
        <w:t xml:space="preserve">参与感、体验感、获得感。利用网络新媒介开辟普法专栏，定期刊登推送残疾人普法内容。充分利用“全国助残日”“国际残疾日”“残疾预防日”等重要节点和残疾人事业重大活动契机，开展形式多样的主题普法活动。坚决打击侵害残疾人权益的违法犯罪行为。 </w:t>
      </w:r>
    </w:p>
    <w:p>
      <w:pPr>
        <w:keepNext w:val="0"/>
        <w:keepLines w:val="0"/>
        <w:pageBreakBefore w:val="0"/>
        <w:widowControl/>
        <w:kinsoku/>
        <w:wordWrap/>
        <w:overflowPunct/>
        <w:topLinePunct w:val="0"/>
        <w:autoSpaceDE/>
        <w:autoSpaceDN/>
        <w:bidi w:val="0"/>
        <w:adjustRightInd/>
        <w:snapToGrid/>
        <w:spacing w:beforeAutospacing="0" w:afterAutospacing="0" w:line="580" w:lineRule="exact"/>
        <w:ind w:firstLine="622"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rPr>
        <w:t>2.建立健全残疾人法律救助工作体系。</w:t>
      </w:r>
      <w:r>
        <w:rPr>
          <w:rFonts w:hint="eastAsia" w:ascii="仿宋_GB2312" w:hAnsi="仿宋_GB2312" w:eastAsia="仿宋_GB2312" w:cs="仿宋_GB2312"/>
          <w:color w:val="000000"/>
          <w:kern w:val="0"/>
          <w:sz w:val="31"/>
          <w:szCs w:val="31"/>
        </w:rPr>
        <w:t xml:space="preserve">加强县级残疾人法律救助工作站规范化建设，进一步建立健全残疾人法律救助工作协调机制，做好残疾人法律服务、法律援助、司法救助工作，明确相关单位和部门维护残疾人权益的职责，为残疾人提供及时有效的法律援助服务，对需要法律帮助和服务的残疾人在咨询、文书代写等方面给予无偿帮助。鼓励残疾人通过“12385”残疾人服务热线、网络信访平台等多种线上形式申请帮助。不断健全和完善残疾人法律救助程序，切实保障残疾人的各项合法权益不受侵犯，最大程度地满足残疾人的法律需求，解决残疾人面临的困难，促进残疾人事业的不断发展。 </w:t>
      </w:r>
    </w:p>
    <w:p>
      <w:pPr>
        <w:pStyle w:val="19"/>
        <w:keepNext w:val="0"/>
        <w:keepLines w:val="0"/>
        <w:pageBreakBefore w:val="0"/>
        <w:widowControl/>
        <w:kinsoku/>
        <w:wordWrap/>
        <w:overflowPunct/>
        <w:topLinePunct w:val="0"/>
        <w:autoSpaceDE/>
        <w:autoSpaceDN/>
        <w:bidi w:val="0"/>
        <w:adjustRightInd/>
        <w:snapToGrid/>
        <w:spacing w:beforeAutospacing="0" w:afterAutospacing="0" w:line="580" w:lineRule="exact"/>
        <w:ind w:firstLine="643" w:firstLineChars="200"/>
        <w:jc w:val="both"/>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bCs/>
          <w:kern w:val="2"/>
          <w:sz w:val="32"/>
          <w:szCs w:val="32"/>
        </w:rPr>
        <w:t>3.加强公共卫生事件中残疾人权益保障。</w:t>
      </w:r>
      <w:r>
        <w:rPr>
          <w:rFonts w:hint="eastAsia" w:ascii="仿宋_GB2312" w:hAnsi="仿宋_GB2312" w:eastAsia="仿宋_GB2312" w:cs="仿宋_GB2312"/>
          <w:kern w:val="2"/>
          <w:sz w:val="32"/>
          <w:szCs w:val="32"/>
        </w:rPr>
        <w:t>重大疫情等突发公共事件中加强对残疾人的保护，在制定和实施突发公共事件应急预案时，考虑残疾人群体的特殊应急需求。发布突发公共事件信息时加配字幕。优化应急场所的无障碍环境，设置语音、字幕等信息提示装置，配置无障碍设施设备。加强残疾人集中场所和残疾人服务机构应急服务能力建设。开展残疾人应急科普宣传，引导残疾人增强自救互救能力。</w:t>
      </w:r>
    </w:p>
    <w:p>
      <w:pPr>
        <w:keepNext w:val="0"/>
        <w:keepLines w:val="0"/>
        <w:pageBreakBefore w:val="0"/>
        <w:widowControl/>
        <w:kinsoku/>
        <w:wordWrap/>
        <w:overflowPunct/>
        <w:topLinePunct w:val="0"/>
        <w:autoSpaceDE/>
        <w:autoSpaceDN/>
        <w:bidi w:val="0"/>
        <w:adjustRightInd/>
        <w:snapToGrid/>
        <w:spacing w:beforeAutospacing="0" w:afterAutospacing="0" w:line="580" w:lineRule="exact"/>
        <w:ind w:firstLine="622"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rPr>
        <w:t>4．提升无障碍设施建设管理水平。</w:t>
      </w:r>
      <w:r>
        <w:rPr>
          <w:rFonts w:hint="eastAsia" w:ascii="仿宋_GB2312" w:hAnsi="仿宋_GB2312" w:eastAsia="仿宋_GB2312" w:cs="仿宋_GB2312"/>
          <w:color w:val="000000"/>
          <w:kern w:val="0"/>
          <w:sz w:val="31"/>
          <w:szCs w:val="31"/>
        </w:rPr>
        <w:t>推进《建筑与市政工程无障碍通用规范》《江西省无障碍环境建设“十四五”实施方案》等相关标准政策贯彻实施。推进将无障碍建设纳入文明城市、民生实事内容。将无障碍环境建设情况纳入城市体检指标体系，开展体检评估。广泛宣传残疾人、老年人、儿童等各类人群在公共服务设施、交通设施和公共空间的无障碍需求，推进城市道路、社区服务设施、公共服务设施和残疾人服务设施、残疾人集中就业单位等加快开展无障碍设施建设和改造。实施困难重度残疾人家庭无障碍改造，加强家庭无障碍改造设施建设技术指导，鼓励扩大改造范围，适当提高改造标准，提升改造水平。</w:t>
      </w:r>
    </w:p>
    <w:p>
      <w:pPr>
        <w:keepNext w:val="0"/>
        <w:keepLines w:val="0"/>
        <w:pageBreakBefore w:val="0"/>
        <w:kinsoku/>
        <w:wordWrap/>
        <w:overflowPunct/>
        <w:topLinePunct w:val="0"/>
        <w:autoSpaceDE/>
        <w:autoSpaceDN/>
        <w:bidi w:val="0"/>
        <w:adjustRightInd/>
        <w:snapToGrid/>
        <w:spacing w:beforeAutospacing="0" w:afterAutospacing="0"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5.加快推进信息无障碍建设。</w:t>
      </w:r>
      <w:r>
        <w:rPr>
          <w:rFonts w:hint="eastAsia" w:ascii="仿宋_GB2312" w:hAnsi="仿宋_GB2312" w:eastAsia="仿宋_GB2312" w:cs="仿宋_GB2312"/>
          <w:sz w:val="32"/>
          <w:szCs w:val="32"/>
        </w:rPr>
        <w:t>将信息无障碍作为数字政府、智慧城市建设的重要组成部分，纳入文明城市测评指标体系。推广便利普惠的针对听障人士的无障碍通话服务---“畅听王卡”的普及工作，加快政府政务、公共服务等信息无障碍建设。加快推动互联网、移动互联网和自助公共服务设备无障碍普及。鼓励县电视台适时播放无声电影或者手语播报节目。县级公共图书馆建立完善盲人阅览室，配备盲文图书及阅读设备，推广听障残疾人无障碍信息交流产品。</w:t>
      </w:r>
    </w:p>
    <w:p>
      <w:pPr>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重点推进事项六：无障碍建设</w:t>
      </w:r>
    </w:p>
    <w:p>
      <w:pPr>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①推广道路交通无障碍设施建设。推进城市主要道路、主要商业区和大型居住区人行道建设。结合轮椅通行需求加强人行道改造，清理违法占道行为，完善盲道等无障碍设施。加强公共停车场和大型居住区的停车场设置并标明无障碍停车位的建设和改造。</w:t>
      </w:r>
    </w:p>
    <w:p>
      <w:pPr>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②推动乡村旅游无障碍设施建设。推动乡村旅游无障碍设施建设，探索研究乡村旅游，旅游民宿无障碍环境建设标准。</w:t>
      </w:r>
    </w:p>
    <w:p>
      <w:pPr>
        <w:keepNext w:val="0"/>
        <w:keepLines w:val="0"/>
        <w:pageBreakBefore w:val="0"/>
        <w:pBdr>
          <w:top w:val="single" w:color="auto" w:sz="4" w:space="0"/>
          <w:left w:val="single" w:color="auto" w:sz="4" w:space="0"/>
          <w:bottom w:val="single" w:color="auto" w:sz="4" w:space="0"/>
          <w:right w:val="single" w:color="auto" w:sz="4" w:space="0"/>
        </w:pBdr>
        <w:kinsoku/>
        <w:overflowPunct/>
        <w:topLinePunct w:val="0"/>
        <w:autoSpaceDE/>
        <w:autoSpaceDN/>
        <w:bidi w:val="0"/>
        <w:adjustRightInd/>
        <w:snapToGrid/>
        <w:spacing w:beforeAutospacing="0" w:afterAutospacing="0"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③推进互联网信息无障碍建设。加快政府门户网站、政务服务平台和网上办事大厅信息无障碍。</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（七）充分发挥“大数据”功能，不断提升科技助残水平。</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bCs/>
          <w:kern w:val="2"/>
          <w:sz w:val="32"/>
          <w:szCs w:val="32"/>
        </w:rPr>
      </w:pPr>
      <w:r>
        <w:rPr>
          <w:rFonts w:hint="eastAsia" w:ascii="仿宋_GB2312" w:hAnsi="仿宋_GB2312" w:eastAsia="仿宋_GB2312" w:cs="仿宋_GB2312"/>
          <w:b/>
          <w:bCs/>
          <w:kern w:val="2"/>
          <w:sz w:val="32"/>
          <w:szCs w:val="32"/>
        </w:rPr>
        <w:t>1.充分挖掘数据潜能。</w:t>
      </w:r>
      <w:r>
        <w:rPr>
          <w:rFonts w:hint="eastAsia" w:ascii="仿宋_GB2312" w:hAnsi="仿宋_GB2312" w:eastAsia="仿宋_GB2312" w:cs="仿宋_GB2312"/>
          <w:kern w:val="2"/>
          <w:sz w:val="32"/>
          <w:szCs w:val="32"/>
        </w:rPr>
        <w:t>有效整合残联各项业务系统数据，提升数据质量，为残疾人事业科学化决策、精细化管理提供有力数据支撑。建立数据安全管理制度，在严格落实数据保密管理的基础上，充分运用科技手段，加速与行业部门之间数据信息共享。</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2.大力推广智慧运用。</w:t>
      </w:r>
      <w:r>
        <w:rPr>
          <w:rFonts w:hint="eastAsia" w:ascii="仿宋_GB2312" w:hAnsi="仿宋_GB2312" w:eastAsia="仿宋_GB2312" w:cs="仿宋_GB2312"/>
          <w:kern w:val="2"/>
          <w:sz w:val="32"/>
          <w:szCs w:val="32"/>
        </w:rPr>
        <w:t>在持续做好传统服务方式的基础上，加速推进智能化服务应用，依托“赣服通”“政务服务网”助残服务专区，落实困难残疾人生活补贴和重度残疾人护理补贴资格认定申请、残疾人办证等残疾人“跨省通办”“省内通办”服务事项，努力实现残疾人服务“一网通办”、“只跑一次”。不断丰富智能化网上服务事项，探索拓宽残疾人电子证照应用场景，拓展公共服务功能，推动社会保障卡加载残疾人服务功能，推进现代技术融入残疾人生活。</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（八）持续深化残联改革，构建残疾人服务体系。</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1.将残联改革推向“深水区”。</w:t>
      </w:r>
      <w:r>
        <w:rPr>
          <w:rFonts w:hint="eastAsia" w:ascii="仿宋_GB2312" w:hAnsi="仿宋_GB2312" w:eastAsia="仿宋_GB2312" w:cs="仿宋_GB2312"/>
          <w:kern w:val="2"/>
          <w:sz w:val="32"/>
          <w:szCs w:val="32"/>
        </w:rPr>
        <w:t>全力推进“五型”残联建设，深化“放、管、服”改革，推进残联组织权力下放、重心下沉、服务前移，不断优化残联组织所属事业单位助残职能。不断加强基层组织建设，选优配强乡镇</w:t>
      </w:r>
      <w:r>
        <w:rPr>
          <w:rFonts w:hint="eastAsia" w:ascii="仿宋_GB2312" w:hAnsi="仿宋_GB2312" w:eastAsia="仿宋_GB2312" w:cs="仿宋_GB2312"/>
          <w:kern w:val="2"/>
          <w:sz w:val="32"/>
          <w:szCs w:val="32"/>
          <w:lang w:eastAsia="zh-CN"/>
        </w:rPr>
        <w:t>（办事处）</w:t>
      </w:r>
      <w:r>
        <w:rPr>
          <w:rFonts w:hint="eastAsia" w:ascii="仿宋_GB2312" w:hAnsi="仿宋_GB2312" w:eastAsia="仿宋_GB2312" w:cs="仿宋_GB2312"/>
          <w:kern w:val="2"/>
          <w:sz w:val="32"/>
          <w:szCs w:val="32"/>
        </w:rPr>
        <w:t>残联理事长，加强村（社区）残疾人协会建设，实现全覆盖。选优配齐乡镇</w:t>
      </w:r>
      <w:r>
        <w:rPr>
          <w:rFonts w:hint="eastAsia" w:ascii="仿宋_GB2312" w:hAnsi="仿宋_GB2312" w:eastAsia="仿宋_GB2312" w:cs="仿宋_GB2312"/>
          <w:kern w:val="2"/>
          <w:sz w:val="32"/>
          <w:szCs w:val="32"/>
          <w:lang w:eastAsia="zh-CN"/>
        </w:rPr>
        <w:t>（办事处）</w:t>
      </w:r>
      <w:r>
        <w:rPr>
          <w:rFonts w:hint="eastAsia" w:ascii="仿宋_GB2312" w:hAnsi="仿宋_GB2312" w:eastAsia="仿宋_GB2312" w:cs="仿宋_GB2312"/>
          <w:kern w:val="2"/>
          <w:sz w:val="32"/>
          <w:szCs w:val="32"/>
        </w:rPr>
        <w:t>、村（社区）残疾人工作专职委员，提高专职委员待遇，加强专职委员教育培训管理，不断提升服务能力。按照属地管理原则，探索在残疾人比较集中的企业、新经济组织、社会组织和新媒体组织推动建立残疾人协会或残疾人小组。</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bCs/>
          <w:kern w:val="2"/>
          <w:sz w:val="32"/>
          <w:szCs w:val="32"/>
        </w:rPr>
      </w:pPr>
      <w:r>
        <w:rPr>
          <w:rFonts w:hint="eastAsia" w:ascii="仿宋_GB2312" w:hAnsi="仿宋_GB2312" w:eastAsia="仿宋_GB2312" w:cs="仿宋_GB2312"/>
          <w:b/>
          <w:bCs/>
          <w:kern w:val="2"/>
          <w:sz w:val="32"/>
          <w:szCs w:val="32"/>
        </w:rPr>
        <w:t>2.织密织牢残疾人服务网络。</w:t>
      </w:r>
      <w:r>
        <w:rPr>
          <w:rFonts w:hint="eastAsia" w:ascii="仿宋_GB2312" w:hAnsi="仿宋_GB2312" w:eastAsia="仿宋_GB2312" w:cs="仿宋_GB2312"/>
          <w:kern w:val="2"/>
          <w:sz w:val="32"/>
          <w:szCs w:val="32"/>
        </w:rPr>
        <w:t>实施残疾人服务能力提升行动，建立县、乡、村三级联动互补的基层残疾人服务网络。将残疾人公共服务纳入县、乡镇</w:t>
      </w:r>
      <w:r>
        <w:rPr>
          <w:rFonts w:hint="eastAsia" w:ascii="仿宋_GB2312" w:hAnsi="仿宋_GB2312" w:eastAsia="仿宋_GB2312" w:cs="仿宋_GB2312"/>
          <w:kern w:val="2"/>
          <w:sz w:val="32"/>
          <w:szCs w:val="32"/>
          <w:lang w:eastAsia="zh-CN"/>
        </w:rPr>
        <w:t>（办事处）</w:t>
      </w:r>
      <w:r>
        <w:rPr>
          <w:rFonts w:hint="eastAsia" w:ascii="仿宋_GB2312" w:hAnsi="仿宋_GB2312" w:eastAsia="仿宋_GB2312" w:cs="仿宋_GB2312"/>
          <w:kern w:val="2"/>
          <w:sz w:val="32"/>
          <w:szCs w:val="32"/>
        </w:rPr>
        <w:t>政府公共服务事项清单和村（居）委会承担的社区工作事项清单。提高残疾人服务资源覆盖面，城镇残疾人基本公共服务逐步实现常住人口全覆盖。县级明确残疾人基本公共服务实施标准，城镇公共服务设施辐射带动乡村残疾人服务，引导鼓励城镇残疾人服务资源向乡村延伸。乡镇</w:t>
      </w:r>
      <w:r>
        <w:rPr>
          <w:rFonts w:hint="eastAsia" w:ascii="仿宋_GB2312" w:hAnsi="仿宋_GB2312" w:eastAsia="仿宋_GB2312" w:cs="仿宋_GB2312"/>
          <w:kern w:val="2"/>
          <w:sz w:val="32"/>
          <w:szCs w:val="32"/>
          <w:lang w:eastAsia="zh-CN"/>
        </w:rPr>
        <w:t>（办事处）</w:t>
      </w:r>
      <w:r>
        <w:rPr>
          <w:rFonts w:hint="eastAsia" w:ascii="仿宋_GB2312" w:hAnsi="仿宋_GB2312" w:eastAsia="仿宋_GB2312" w:cs="仿宋_GB2312"/>
          <w:kern w:val="2"/>
          <w:sz w:val="32"/>
          <w:szCs w:val="32"/>
        </w:rPr>
        <w:t>、村（社区）为残疾人服务提供场地保障，各级各类文体中心（场、站）应配备残疾人专用器械。乡镇</w:t>
      </w:r>
      <w:r>
        <w:rPr>
          <w:rFonts w:hint="eastAsia" w:ascii="仿宋_GB2312" w:hAnsi="仿宋_GB2312" w:eastAsia="仿宋_GB2312" w:cs="仿宋_GB2312"/>
          <w:kern w:val="2"/>
          <w:sz w:val="32"/>
          <w:szCs w:val="32"/>
          <w:lang w:eastAsia="zh-CN"/>
        </w:rPr>
        <w:t>（办事处）</w:t>
      </w:r>
      <w:r>
        <w:rPr>
          <w:rFonts w:hint="eastAsia" w:ascii="仿宋_GB2312" w:hAnsi="仿宋_GB2312" w:eastAsia="仿宋_GB2312" w:cs="仿宋_GB2312"/>
          <w:kern w:val="2"/>
          <w:sz w:val="32"/>
          <w:szCs w:val="32"/>
        </w:rPr>
        <w:t>普遍建立“社工站”“残疾人之家”等服务机构，村（居）委会将残疾人作为重点服务对象。针对残疾人特殊困难推行上门办、网上办、就近办、一次办等便利化服务。常态化开展残疾人服务与需求状况调查。</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3.提升社会助残服务能力。</w:t>
      </w:r>
      <w:r>
        <w:rPr>
          <w:rFonts w:hint="eastAsia" w:ascii="仿宋_GB2312" w:hAnsi="仿宋_GB2312" w:eastAsia="仿宋_GB2312" w:cs="仿宋_GB2312"/>
          <w:kern w:val="2"/>
          <w:sz w:val="32"/>
          <w:szCs w:val="32"/>
        </w:rPr>
        <w:t>加快组建助残志愿者队伍，各乡镇</w:t>
      </w:r>
      <w:r>
        <w:rPr>
          <w:rFonts w:hint="eastAsia" w:ascii="仿宋_GB2312" w:hAnsi="仿宋_GB2312" w:eastAsia="仿宋_GB2312" w:cs="仿宋_GB2312"/>
          <w:kern w:val="2"/>
          <w:sz w:val="32"/>
          <w:szCs w:val="32"/>
          <w:lang w:eastAsia="zh-CN"/>
        </w:rPr>
        <w:t>（办事处）</w:t>
      </w:r>
      <w:r>
        <w:rPr>
          <w:rFonts w:hint="eastAsia" w:ascii="仿宋_GB2312" w:hAnsi="仿宋_GB2312" w:eastAsia="仿宋_GB2312" w:cs="仿宋_GB2312"/>
          <w:kern w:val="2"/>
          <w:sz w:val="32"/>
          <w:szCs w:val="32"/>
        </w:rPr>
        <w:t>至少建成一支助残志愿者队伍，广泛开展“阳光助残”行动等志愿服务活动。加强助残志愿服务规范化建设，健全助残志愿者招募注册、服务登记、褒扬激励等制度，推进县级助残志愿者联络站（点）建设。支持各类社会组织在城乡社区有序开展助残服务。</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4.加强残联干部队伍建设。</w:t>
      </w:r>
      <w:r>
        <w:rPr>
          <w:rFonts w:hint="eastAsia" w:ascii="仿宋_GB2312" w:hAnsi="仿宋_GB2312" w:eastAsia="仿宋_GB2312" w:cs="仿宋_GB2312"/>
          <w:kern w:val="2"/>
          <w:sz w:val="32"/>
          <w:szCs w:val="32"/>
        </w:rPr>
        <w:t>通过“专兼挂”等多种方式增强残疾人工作力量。加大各级残联残疾人干部、年轻干部、基层干部培养选拔力度。深入推进全面从严治党，加强残联干部的教育培训，加大对各级残联干部的监督力度。广大残疾人工作者要不忘初心、牢记使命，自觉践行好干部标准，恪守职业道德，加强思想修养，提高专业素质，全心全意为残疾人服务。</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5.加强残联专门协会建设。</w:t>
      </w:r>
      <w:r>
        <w:rPr>
          <w:rFonts w:hint="eastAsia" w:ascii="仿宋_GB2312" w:hAnsi="仿宋_GB2312" w:eastAsia="仿宋_GB2312" w:cs="仿宋_GB2312"/>
          <w:kern w:val="2"/>
          <w:sz w:val="32"/>
          <w:szCs w:val="32"/>
        </w:rPr>
        <w:t>加强残疾人五大专门协会建设。完善专门协会管理机制，加强队伍建设，落实经费、场地、人员等保障措施，充分发挥专门协会的代表、服务、维权、监督作用。</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6．推进助残服务设施建设。</w:t>
      </w:r>
      <w:r>
        <w:rPr>
          <w:rFonts w:hint="eastAsia" w:ascii="仿宋_GB2312" w:hAnsi="仿宋_GB2312" w:eastAsia="仿宋_GB2312" w:cs="仿宋_GB2312"/>
          <w:kern w:val="2"/>
          <w:sz w:val="32"/>
          <w:szCs w:val="32"/>
        </w:rPr>
        <w:t>加快推进残疾人服务设施兜底线工程建设，加强康复、托养等残疾人服务机构规范化建设，落实残疾人服务设施运营管理机制。加大对新建民办残疾人康复和托养机构支持力度，将政府投资建设的残疾人服务设施无偿或低价提供给公益性、普惠性残疾人服务机构使用。积极推进公办精神卫生福利、医疗康复、养老、托养、社区卫生服务等机构服务对接、场地共用、资源共享与合作。</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Style w:val="29"/>
          <w:rFonts w:ascii="黑体" w:hAnsi="黑体" w:eastAsia="黑体" w:cs="黑体"/>
          <w:b/>
          <w:bCs/>
          <w:sz w:val="32"/>
          <w:szCs w:val="32"/>
          <w:shd w:val="clear" w:color="auto" w:fill="FFFFFF"/>
        </w:rPr>
      </w:pPr>
      <w:r>
        <w:rPr>
          <w:rStyle w:val="29"/>
          <w:rFonts w:hint="eastAsia" w:ascii="黑体" w:hAnsi="黑体" w:eastAsia="黑体" w:cs="黑体"/>
          <w:b/>
          <w:bCs/>
          <w:sz w:val="32"/>
          <w:szCs w:val="32"/>
          <w:shd w:val="clear" w:color="auto" w:fill="FFFFFF"/>
        </w:rPr>
        <w:t>六、实施保障</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楷体_GB2312" w:hAnsi="楷体_GB2312" w:eastAsia="楷体_GB2312" w:cs="楷体_GB2312"/>
          <w:b/>
          <w:bCs/>
          <w:kern w:val="2"/>
          <w:sz w:val="32"/>
          <w:szCs w:val="32"/>
        </w:rPr>
        <w:t>（一）加强党的领导和组织管理。</w:t>
      </w:r>
      <w:r>
        <w:rPr>
          <w:rFonts w:hint="eastAsia" w:ascii="仿宋_GB2312" w:hAnsi="仿宋_GB2312" w:eastAsia="仿宋_GB2312" w:cs="仿宋_GB2312"/>
          <w:kern w:val="2"/>
          <w:sz w:val="32"/>
          <w:szCs w:val="32"/>
        </w:rPr>
        <w:t>加强党对残疾人工作的领导，确保习近平总书记关于残疾人事业的重要指示批示精神和党中央、国务院及省委省政府、市委市政府、县委县政府决策部署有效落实，为全县残疾人事业发展提供坚强政治保障。健全党委领导、政府负责、部门协同、社会参与、市场推动、残疾人组织充分发挥作用的领导体制和工作机制。县政府残疾人工作委员会发挥牵头作用，统筹协调解决残疾人事业重大问题；县政府残疾人工作委员会成员单位切实履行残疾人工作职责，在政策、资金、项目、人才、服务等方面给予倾斜。</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楷体_GB2312" w:hAnsi="楷体_GB2312" w:eastAsia="楷体_GB2312" w:cs="楷体_GB2312"/>
          <w:b/>
          <w:bCs/>
          <w:kern w:val="2"/>
          <w:sz w:val="32"/>
          <w:szCs w:val="32"/>
        </w:rPr>
        <w:t>（二）加强政策支撑和经费保障。</w:t>
      </w:r>
      <w:r>
        <w:rPr>
          <w:rFonts w:hint="eastAsia" w:ascii="仿宋_GB2312" w:hAnsi="仿宋_GB2312" w:eastAsia="仿宋_GB2312" w:cs="仿宋_GB2312"/>
          <w:kern w:val="2"/>
          <w:sz w:val="32"/>
          <w:szCs w:val="32"/>
        </w:rPr>
        <w:t>各级政府按规定做好残疾人事业经费保障。各地应当在每年本级留存的福利彩票公益金和体育彩票公益金中安排一定比例资金，专项用于残疾人事业。加强残疾人就业保障金的征收、管理、使用与监督，发挥资金最大效益。注重政策引导，优化资源配置，鼓励更多社会力量参与残疾人服务业发展，不断完善政府重点支持、社会积极参与的残疾人事业多元化投入格局。加强预算绩效管理，原则上优先保障实施效果好、残疾人满意度高的项目。</w:t>
      </w:r>
    </w:p>
    <w:p>
      <w:pPr>
        <w:pStyle w:val="19"/>
        <w:keepNext w:val="0"/>
        <w:keepLines w:val="0"/>
        <w:pageBreakBefore w:val="0"/>
        <w:widowControl/>
        <w:kinsoku/>
        <w:overflowPunct/>
        <w:topLinePunct w:val="0"/>
        <w:autoSpaceDE/>
        <w:autoSpaceDN/>
        <w:bidi w:val="0"/>
        <w:adjustRightInd/>
        <w:snapToGrid/>
        <w:spacing w:beforeAutospacing="0" w:afterAutospacing="0" w:line="560" w:lineRule="exact"/>
        <w:ind w:firstLine="643" w:firstLineChars="200"/>
        <w:jc w:val="both"/>
        <w:rPr>
          <w:rFonts w:hint="eastAsia" w:ascii="仿宋_GB2312" w:hAnsi="仿宋_GB2312" w:eastAsia="仿宋_GB2312" w:cs="仿宋_GB2312"/>
          <w:kern w:val="2"/>
          <w:sz w:val="32"/>
          <w:szCs w:val="32"/>
        </w:rPr>
      </w:pPr>
      <w:r>
        <w:rPr>
          <w:rFonts w:hint="eastAsia" w:ascii="楷体_GB2312" w:hAnsi="楷体_GB2312" w:eastAsia="楷体_GB2312" w:cs="楷体_GB2312"/>
          <w:b/>
          <w:bCs/>
          <w:kern w:val="2"/>
          <w:sz w:val="32"/>
          <w:szCs w:val="32"/>
        </w:rPr>
        <w:t>（三）加强规划督导和监测评估。</w:t>
      </w:r>
      <w:r>
        <w:rPr>
          <w:rFonts w:hint="eastAsia" w:ascii="仿宋_GB2312" w:hAnsi="仿宋_GB2312" w:eastAsia="仿宋_GB2312" w:cs="仿宋_GB2312"/>
          <w:kern w:val="2"/>
          <w:sz w:val="32"/>
          <w:szCs w:val="32"/>
        </w:rPr>
        <w:t>各地、各部门将本规划的主要任务指标纳入国民经济和社会发展总体规划及专项规划，统筹安排、同步实施，确保规划落实。各地要将规划实施情况纳入政府工作考核。县级政府残疾人工作委员会及有关部门要对规划实施情况进行年度监测、中期评估和总结评估，开展第三方评估和社会满意度调查，及时发现和解决规划实施中出现的问题。“十四五”期末，县政府残疾人工作委员会对规划实施情况进行考核评估。</w:t>
      </w:r>
    </w:p>
    <w:p>
      <w:pPr>
        <w:keepNext w:val="0"/>
        <w:keepLines w:val="0"/>
        <w:pageBreakBefore w:val="0"/>
        <w:kinsoku/>
        <w:overflowPunct/>
        <w:topLinePunct w:val="0"/>
        <w:autoSpaceDE/>
        <w:autoSpaceDN/>
        <w:bidi w:val="0"/>
        <w:adjustRightInd/>
        <w:snapToGrid/>
        <w:spacing w:beforeAutospacing="0" w:afterAutospacing="0" w:line="560" w:lineRule="exact"/>
        <w:rPr>
          <w:rFonts w:hint="eastAsia" w:ascii="仿宋_GB2312" w:hAnsi="仿宋_GB2312" w:eastAsia="仿宋_GB2312" w:cs="仿宋_GB2312"/>
        </w:rPr>
      </w:pPr>
    </w:p>
    <w:p>
      <w:pPr>
        <w:pStyle w:val="73"/>
        <w:keepNext w:val="0"/>
        <w:keepLines w:val="0"/>
        <w:pageBreakBefore w:val="0"/>
        <w:widowControl/>
        <w:kinsoku/>
        <w:wordWrap/>
        <w:overflowPunct/>
        <w:topLinePunct w:val="0"/>
        <w:autoSpaceDE/>
        <w:autoSpaceDN/>
        <w:bidi w:val="0"/>
        <w:adjustRightInd/>
        <w:snapToGrid/>
        <w:spacing w:before="0" w:line="560" w:lineRule="exact"/>
        <w:ind w:left="0" w:leftChars="0" w:right="0" w:rightChars="0" w:firstLine="0" w:firstLineChars="0"/>
        <w:jc w:val="both"/>
        <w:textAlignment w:val="auto"/>
        <w:outlineLvl w:val="9"/>
        <w:rPr>
          <w:rFonts w:hint="eastAsia" w:ascii="仿宋_GB2312" w:hAnsi="仿宋_GB2312" w:eastAsia="仿宋_GB2312" w:cs="仿宋_GB2312"/>
          <w:sz w:val="28"/>
          <w:szCs w:val="28"/>
          <w:u w:val="thick"/>
          <w:lang w:val="en-US" w:eastAsia="zh-CN"/>
        </w:rPr>
      </w:pPr>
    </w:p>
    <w:p>
      <w:pPr>
        <w:pStyle w:val="73"/>
        <w:keepNext w:val="0"/>
        <w:keepLines w:val="0"/>
        <w:pageBreakBefore w:val="0"/>
        <w:widowControl/>
        <w:kinsoku/>
        <w:wordWrap/>
        <w:overflowPunct/>
        <w:topLinePunct w:val="0"/>
        <w:autoSpaceDE/>
        <w:autoSpaceDN/>
        <w:bidi w:val="0"/>
        <w:adjustRightInd/>
        <w:snapToGrid/>
        <w:spacing w:before="0" w:line="560" w:lineRule="exact"/>
        <w:ind w:left="0" w:leftChars="0" w:right="0" w:rightChars="0" w:firstLine="0" w:firstLineChars="0"/>
        <w:jc w:val="both"/>
        <w:textAlignment w:val="auto"/>
        <w:outlineLvl w:val="9"/>
        <w:rPr>
          <w:rFonts w:hint="eastAsia" w:ascii="仿宋_GB2312" w:hAnsi="仿宋_GB2312" w:eastAsia="仿宋_GB2312" w:cs="仿宋_GB2312"/>
          <w:sz w:val="28"/>
          <w:szCs w:val="28"/>
          <w:u w:val="thick"/>
          <w:lang w:val="en-US" w:eastAsia="zh-CN"/>
        </w:rPr>
      </w:pPr>
    </w:p>
    <w:p>
      <w:pPr>
        <w:pStyle w:val="73"/>
        <w:keepNext w:val="0"/>
        <w:keepLines w:val="0"/>
        <w:pageBreakBefore w:val="0"/>
        <w:widowControl/>
        <w:kinsoku/>
        <w:wordWrap/>
        <w:overflowPunct/>
        <w:topLinePunct w:val="0"/>
        <w:autoSpaceDE/>
        <w:autoSpaceDN/>
        <w:bidi w:val="0"/>
        <w:adjustRightInd/>
        <w:snapToGrid/>
        <w:spacing w:before="0" w:line="560" w:lineRule="exact"/>
        <w:ind w:left="0" w:leftChars="0" w:right="0" w:rightChars="0" w:firstLine="0" w:firstLineChars="0"/>
        <w:jc w:val="both"/>
        <w:textAlignment w:val="auto"/>
        <w:outlineLvl w:val="9"/>
        <w:rPr>
          <w:rFonts w:hint="eastAsia" w:ascii="仿宋_GB2312" w:hAnsi="仿宋_GB2312" w:eastAsia="仿宋_GB2312" w:cs="仿宋_GB2312"/>
          <w:sz w:val="28"/>
          <w:szCs w:val="28"/>
          <w:u w:val="thick"/>
          <w:lang w:val="en-US" w:eastAsia="zh-CN"/>
        </w:rPr>
      </w:pPr>
    </w:p>
    <w:p>
      <w:pPr>
        <w:pStyle w:val="73"/>
        <w:keepNext w:val="0"/>
        <w:keepLines w:val="0"/>
        <w:pageBreakBefore w:val="0"/>
        <w:widowControl/>
        <w:kinsoku/>
        <w:wordWrap/>
        <w:overflowPunct/>
        <w:topLinePunct w:val="0"/>
        <w:autoSpaceDE/>
        <w:autoSpaceDN/>
        <w:bidi w:val="0"/>
        <w:adjustRightInd/>
        <w:snapToGrid/>
        <w:spacing w:before="0" w:line="560" w:lineRule="exact"/>
        <w:ind w:left="0" w:leftChars="0" w:right="0" w:rightChars="0" w:firstLine="0" w:firstLineChars="0"/>
        <w:jc w:val="both"/>
        <w:textAlignment w:val="auto"/>
        <w:outlineLvl w:val="9"/>
        <w:rPr>
          <w:rFonts w:hint="eastAsia" w:ascii="仿宋_GB2312" w:hAnsi="仿宋_GB2312" w:eastAsia="仿宋_GB2312" w:cs="仿宋_GB2312"/>
          <w:sz w:val="28"/>
          <w:szCs w:val="28"/>
          <w:u w:val="thick"/>
          <w:lang w:val="en-US" w:eastAsia="zh-CN"/>
        </w:rPr>
      </w:pPr>
    </w:p>
    <w:p>
      <w:pPr>
        <w:pStyle w:val="73"/>
        <w:keepNext w:val="0"/>
        <w:keepLines w:val="0"/>
        <w:pageBreakBefore w:val="0"/>
        <w:widowControl/>
        <w:kinsoku/>
        <w:wordWrap/>
        <w:overflowPunct/>
        <w:topLinePunct w:val="0"/>
        <w:autoSpaceDE/>
        <w:autoSpaceDN/>
        <w:bidi w:val="0"/>
        <w:adjustRightInd/>
        <w:snapToGrid/>
        <w:spacing w:before="0" w:line="560" w:lineRule="exact"/>
        <w:ind w:left="0" w:leftChars="0" w:right="0" w:rightChars="0" w:firstLine="0" w:firstLineChars="0"/>
        <w:jc w:val="both"/>
        <w:textAlignment w:val="auto"/>
        <w:outlineLvl w:val="9"/>
        <w:rPr>
          <w:rFonts w:hint="eastAsia" w:ascii="仿宋_GB2312" w:hAnsi="仿宋_GB2312" w:eastAsia="仿宋_GB2312" w:cs="仿宋_GB2312"/>
          <w:sz w:val="28"/>
          <w:szCs w:val="28"/>
          <w:u w:val="thick"/>
          <w:lang w:val="en-US" w:eastAsia="zh-CN"/>
        </w:rPr>
      </w:pPr>
    </w:p>
    <w:p>
      <w:pPr>
        <w:pStyle w:val="73"/>
        <w:keepNext w:val="0"/>
        <w:keepLines w:val="0"/>
        <w:pageBreakBefore w:val="0"/>
        <w:widowControl/>
        <w:kinsoku/>
        <w:wordWrap/>
        <w:overflowPunct/>
        <w:topLinePunct w:val="0"/>
        <w:autoSpaceDE/>
        <w:autoSpaceDN/>
        <w:bidi w:val="0"/>
        <w:adjustRightInd/>
        <w:snapToGrid/>
        <w:spacing w:before="0" w:line="560" w:lineRule="exact"/>
        <w:ind w:left="0" w:leftChars="0" w:right="0" w:rightChars="0" w:firstLine="0" w:firstLineChars="0"/>
        <w:jc w:val="both"/>
        <w:textAlignment w:val="auto"/>
        <w:outlineLvl w:val="9"/>
        <w:rPr>
          <w:rFonts w:hint="eastAsia" w:ascii="仿宋_GB2312" w:hAnsi="仿宋_GB2312" w:eastAsia="仿宋_GB2312" w:cs="仿宋_GB2312"/>
          <w:sz w:val="28"/>
          <w:szCs w:val="28"/>
          <w:u w:val="thick"/>
          <w:lang w:val="en-US" w:eastAsia="zh-CN"/>
        </w:rPr>
      </w:pPr>
    </w:p>
    <w:p>
      <w:pPr>
        <w:pStyle w:val="73"/>
        <w:keepNext w:val="0"/>
        <w:keepLines w:val="0"/>
        <w:pageBreakBefore w:val="0"/>
        <w:widowControl/>
        <w:kinsoku/>
        <w:wordWrap/>
        <w:overflowPunct/>
        <w:topLinePunct w:val="0"/>
        <w:autoSpaceDE/>
        <w:autoSpaceDN/>
        <w:bidi w:val="0"/>
        <w:adjustRightInd/>
        <w:snapToGrid/>
        <w:spacing w:before="0" w:line="560" w:lineRule="exact"/>
        <w:ind w:left="0" w:leftChars="0" w:right="0" w:rightChars="0" w:firstLine="0" w:firstLineChars="0"/>
        <w:jc w:val="both"/>
        <w:textAlignment w:val="auto"/>
        <w:outlineLvl w:val="9"/>
        <w:rPr>
          <w:rFonts w:hint="eastAsia" w:ascii="仿宋_GB2312" w:hAnsi="仿宋_GB2312" w:eastAsia="仿宋_GB2312" w:cs="仿宋_GB2312"/>
          <w:sz w:val="28"/>
          <w:szCs w:val="28"/>
          <w:u w:val="thick"/>
          <w:lang w:val="en-US" w:eastAsia="zh-CN"/>
        </w:rPr>
      </w:pPr>
    </w:p>
    <w:p>
      <w:pPr>
        <w:pStyle w:val="73"/>
        <w:keepNext w:val="0"/>
        <w:keepLines w:val="0"/>
        <w:pageBreakBefore w:val="0"/>
        <w:widowControl/>
        <w:kinsoku/>
        <w:wordWrap/>
        <w:overflowPunct/>
        <w:topLinePunct w:val="0"/>
        <w:autoSpaceDE/>
        <w:autoSpaceDN/>
        <w:bidi w:val="0"/>
        <w:adjustRightInd/>
        <w:snapToGrid/>
        <w:spacing w:before="0" w:line="560" w:lineRule="exact"/>
        <w:ind w:left="0" w:leftChars="0" w:right="0" w:rightChars="0" w:firstLine="0" w:firstLineChars="0"/>
        <w:jc w:val="both"/>
        <w:textAlignment w:val="auto"/>
        <w:outlineLvl w:val="9"/>
        <w:rPr>
          <w:rFonts w:hint="eastAsia" w:ascii="仿宋_GB2312" w:hAnsi="仿宋_GB2312" w:eastAsia="仿宋_GB2312" w:cs="仿宋_GB2312"/>
          <w:sz w:val="28"/>
          <w:szCs w:val="28"/>
          <w:u w:val="thick"/>
          <w:lang w:val="en-US" w:eastAsia="zh-CN"/>
        </w:rPr>
      </w:pPr>
    </w:p>
    <w:p>
      <w:pPr>
        <w:pStyle w:val="73"/>
        <w:keepNext w:val="0"/>
        <w:keepLines w:val="0"/>
        <w:pageBreakBefore w:val="0"/>
        <w:widowControl/>
        <w:kinsoku/>
        <w:wordWrap/>
        <w:overflowPunct/>
        <w:topLinePunct w:val="0"/>
        <w:autoSpaceDE/>
        <w:autoSpaceDN/>
        <w:bidi w:val="0"/>
        <w:adjustRightInd/>
        <w:snapToGrid/>
        <w:spacing w:before="0" w:line="560" w:lineRule="exact"/>
        <w:ind w:left="0" w:leftChars="0" w:right="0" w:rightChars="0" w:firstLine="0" w:firstLineChars="0"/>
        <w:jc w:val="both"/>
        <w:textAlignment w:val="auto"/>
        <w:outlineLvl w:val="9"/>
        <w:rPr>
          <w:rFonts w:hint="eastAsia" w:ascii="仿宋_GB2312" w:hAnsi="仿宋_GB2312" w:eastAsia="仿宋_GB2312" w:cs="仿宋_GB2312"/>
          <w:sz w:val="28"/>
          <w:szCs w:val="28"/>
          <w:u w:val="thick"/>
          <w:lang w:val="en-US" w:eastAsia="zh-CN"/>
        </w:rPr>
      </w:pPr>
      <w:r>
        <w:rPr>
          <w:rFonts w:hint="eastAsia" w:ascii="仿宋_GB2312" w:hAnsi="仿宋_GB2312" w:eastAsia="仿宋_GB2312" w:cs="仿宋_GB2312"/>
          <w:sz w:val="28"/>
          <w:szCs w:val="28"/>
          <w:u w:val="thick"/>
          <w:lang w:val="en-US" w:eastAsia="zh-CN"/>
        </w:rPr>
        <w:t xml:space="preserve">                                                               </w:t>
      </w:r>
    </w:p>
    <w:p>
      <w:pPr>
        <w:pStyle w:val="73"/>
        <w:keepNext w:val="0"/>
        <w:keepLines w:val="0"/>
        <w:pageBreakBefore w:val="0"/>
        <w:widowControl/>
        <w:kinsoku/>
        <w:wordWrap/>
        <w:overflowPunct/>
        <w:topLinePunct w:val="0"/>
        <w:autoSpaceDE/>
        <w:autoSpaceDN/>
        <w:bidi w:val="0"/>
        <w:adjustRightInd/>
        <w:snapToGrid/>
        <w:spacing w:before="0" w:line="560" w:lineRule="exact"/>
        <w:ind w:left="0" w:leftChars="0" w:right="0" w:rightChars="0" w:firstLine="0" w:firstLineChars="0"/>
        <w:textAlignment w:val="auto"/>
        <w:outlineLvl w:val="9"/>
        <w:rPr>
          <w:rFonts w:hint="eastAsia"/>
        </w:rPr>
      </w:pPr>
      <w:r>
        <w:rPr>
          <w:rFonts w:hint="eastAsia" w:ascii="仿宋_GB2312" w:hAnsi="仿宋_GB2312" w:eastAsia="仿宋_GB2312" w:cs="仿宋_GB2312"/>
          <w:strike w:val="0"/>
          <w:dstrike w:val="0"/>
          <w:sz w:val="28"/>
          <w:szCs w:val="28"/>
          <w:u w:val="thick"/>
          <w:lang w:val="en-US" w:eastAsia="zh-CN"/>
        </w:rPr>
        <w:t xml:space="preserve">  </w:t>
      </w:r>
      <w:r>
        <w:rPr>
          <w:rFonts w:hint="eastAsia" w:ascii="仿宋_GB2312" w:hAnsi="仿宋_GB2312" w:eastAsia="仿宋_GB2312" w:cs="仿宋_GB2312"/>
          <w:strike w:val="0"/>
          <w:dstrike w:val="0"/>
          <w:sz w:val="28"/>
          <w:szCs w:val="28"/>
          <w:u w:val="thick"/>
        </w:rPr>
        <w:t>铅山县人民政府办公室秘书</w:t>
      </w:r>
      <w:r>
        <w:rPr>
          <w:rFonts w:hint="eastAsia" w:ascii="仿宋_GB2312" w:hAnsi="仿宋_GB2312" w:eastAsia="仿宋_GB2312" w:cs="仿宋_GB2312"/>
          <w:strike w:val="0"/>
          <w:dstrike w:val="0"/>
          <w:sz w:val="28"/>
          <w:szCs w:val="28"/>
          <w:u w:val="thick"/>
          <w:lang w:eastAsia="zh-CN"/>
        </w:rPr>
        <w:t>股</w:t>
      </w:r>
      <w:r>
        <w:rPr>
          <w:rFonts w:hint="eastAsia" w:ascii="仿宋_GB2312" w:hAnsi="仿宋_GB2312" w:eastAsia="仿宋_GB2312" w:cs="仿宋_GB2312"/>
          <w:strike w:val="0"/>
          <w:dstrike w:val="0"/>
          <w:sz w:val="28"/>
          <w:szCs w:val="28"/>
          <w:u w:val="thick"/>
        </w:rPr>
        <w:t xml:space="preserve">     </w:t>
      </w:r>
      <w:r>
        <w:rPr>
          <w:rFonts w:hint="eastAsia" w:ascii="仿宋_GB2312" w:hAnsi="仿宋_GB2312" w:eastAsia="仿宋_GB2312" w:cs="仿宋_GB2312"/>
          <w:strike w:val="0"/>
          <w:dstrike w:val="0"/>
          <w:sz w:val="28"/>
          <w:szCs w:val="28"/>
          <w:u w:val="thick"/>
          <w:lang w:val="en-US" w:eastAsia="zh-CN"/>
        </w:rPr>
        <w:t xml:space="preserve">   </w:t>
      </w:r>
      <w:r>
        <w:rPr>
          <w:rFonts w:hint="eastAsia" w:ascii="仿宋_GB2312" w:hAnsi="仿宋_GB2312" w:cs="仿宋_GB2312"/>
          <w:strike w:val="0"/>
          <w:dstrike w:val="0"/>
          <w:sz w:val="28"/>
          <w:szCs w:val="28"/>
          <w:u w:val="thick"/>
          <w:lang w:val="en-US" w:eastAsia="zh-CN"/>
        </w:rPr>
        <w:t xml:space="preserve"> </w:t>
      </w:r>
      <w:r>
        <w:rPr>
          <w:rFonts w:hint="eastAsia" w:ascii="仿宋_GB2312" w:hAnsi="仿宋_GB2312" w:eastAsia="仿宋_GB2312" w:cs="仿宋_GB2312"/>
          <w:strike w:val="0"/>
          <w:dstrike w:val="0"/>
          <w:sz w:val="28"/>
          <w:szCs w:val="28"/>
          <w:u w:val="thick"/>
          <w:lang w:val="en-US" w:eastAsia="zh-CN"/>
        </w:rPr>
        <w:t xml:space="preserve">  </w:t>
      </w:r>
      <w:r>
        <w:rPr>
          <w:rFonts w:hint="eastAsia" w:ascii="仿宋_GB2312" w:hAnsi="仿宋_GB2312" w:eastAsia="仿宋_GB2312" w:cs="仿宋_GB2312"/>
          <w:strike w:val="0"/>
          <w:dstrike w:val="0"/>
          <w:sz w:val="28"/>
          <w:szCs w:val="28"/>
          <w:u w:val="thick"/>
        </w:rPr>
        <w:t xml:space="preserve">   </w:t>
      </w:r>
      <w:r>
        <w:rPr>
          <w:rFonts w:hint="eastAsia" w:ascii="仿宋_GB2312" w:hAnsi="仿宋_GB2312" w:eastAsia="仿宋_GB2312" w:cs="仿宋_GB2312"/>
          <w:strike w:val="0"/>
          <w:dstrike w:val="0"/>
          <w:sz w:val="28"/>
          <w:szCs w:val="28"/>
          <w:u w:val="thick"/>
          <w:lang w:val="en-US" w:eastAsia="zh-CN"/>
        </w:rPr>
        <w:t>20</w:t>
      </w:r>
      <w:r>
        <w:rPr>
          <w:rFonts w:hint="eastAsia" w:ascii="仿宋_GB2312" w:hAnsi="仿宋_GB2312" w:cs="仿宋_GB2312"/>
          <w:strike w:val="0"/>
          <w:dstrike w:val="0"/>
          <w:sz w:val="28"/>
          <w:szCs w:val="28"/>
          <w:u w:val="thick"/>
          <w:lang w:val="en-US" w:eastAsia="zh-CN"/>
        </w:rPr>
        <w:t>23</w:t>
      </w:r>
      <w:r>
        <w:rPr>
          <w:rFonts w:hint="eastAsia" w:ascii="仿宋_GB2312" w:hAnsi="仿宋_GB2312" w:eastAsia="仿宋_GB2312" w:cs="仿宋_GB2312"/>
          <w:strike w:val="0"/>
          <w:dstrike w:val="0"/>
          <w:sz w:val="28"/>
          <w:szCs w:val="28"/>
          <w:u w:val="thick"/>
        </w:rPr>
        <w:t>年</w:t>
      </w:r>
      <w:r>
        <w:rPr>
          <w:rFonts w:hint="eastAsia" w:ascii="仿宋_GB2312" w:hAnsi="仿宋_GB2312" w:cs="仿宋_GB2312"/>
          <w:strike w:val="0"/>
          <w:dstrike w:val="0"/>
          <w:sz w:val="28"/>
          <w:szCs w:val="28"/>
          <w:u w:val="thick"/>
          <w:lang w:val="en-US" w:eastAsia="zh-CN"/>
        </w:rPr>
        <w:t>5</w:t>
      </w:r>
      <w:r>
        <w:rPr>
          <w:rFonts w:hint="eastAsia" w:ascii="仿宋_GB2312" w:hAnsi="仿宋_GB2312" w:eastAsia="仿宋_GB2312" w:cs="仿宋_GB2312"/>
          <w:strike w:val="0"/>
          <w:dstrike w:val="0"/>
          <w:sz w:val="28"/>
          <w:szCs w:val="28"/>
          <w:u w:val="thick"/>
        </w:rPr>
        <w:t>月</w:t>
      </w:r>
      <w:r>
        <w:rPr>
          <w:rFonts w:hint="eastAsia" w:ascii="仿宋_GB2312" w:hAnsi="仿宋_GB2312" w:eastAsia="仿宋_GB2312" w:cs="仿宋_GB2312"/>
          <w:strike w:val="0"/>
          <w:dstrike w:val="0"/>
          <w:sz w:val="28"/>
          <w:szCs w:val="28"/>
          <w:u w:val="thick"/>
          <w:lang w:val="en-US" w:eastAsia="zh-CN"/>
        </w:rPr>
        <w:t>15</w:t>
      </w:r>
      <w:r>
        <w:rPr>
          <w:rFonts w:hint="eastAsia" w:ascii="仿宋_GB2312" w:hAnsi="仿宋_GB2312" w:eastAsia="仿宋_GB2312" w:cs="仿宋_GB2312"/>
          <w:strike w:val="0"/>
          <w:dstrike w:val="0"/>
          <w:sz w:val="28"/>
          <w:szCs w:val="28"/>
          <w:u w:val="thick"/>
        </w:rPr>
        <w:t>日</w:t>
      </w:r>
      <w:r>
        <w:rPr>
          <w:rFonts w:hint="eastAsia" w:ascii="仿宋_GB2312" w:hAnsi="仿宋_GB2312" w:eastAsia="仿宋_GB2312" w:cs="仿宋_GB2312"/>
          <w:strike w:val="0"/>
          <w:dstrike w:val="0"/>
          <w:sz w:val="28"/>
          <w:szCs w:val="28"/>
          <w:u w:val="thick"/>
          <w:lang w:eastAsia="zh-CN"/>
        </w:rPr>
        <w:t>印发</w:t>
      </w:r>
      <w:r>
        <w:rPr>
          <w:rFonts w:hint="eastAsia" w:ascii="仿宋_GB2312" w:hAnsi="仿宋_GB2312" w:eastAsia="仿宋_GB2312" w:cs="仿宋_GB2312"/>
          <w:strike w:val="0"/>
          <w:dstrike w:val="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关于进一步加强知识产权创造保护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和运用的实施方案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w:t>
      </w:r>
      <w:r>
        <w:rPr>
          <w:rFonts w:hint="eastAsia" w:ascii="仿宋_GB2312" w:hAnsi="仿宋_GB2312" w:eastAsia="仿宋_GB2312" w:cs="仿宋_GB2312"/>
          <w:color w:val="auto"/>
          <w:sz w:val="32"/>
          <w:szCs w:val="32"/>
        </w:rPr>
        <w:t>贯彻</w:t>
      </w:r>
      <w:r>
        <w:rPr>
          <w:rFonts w:hint="eastAsia" w:ascii="仿宋_GB2312" w:hAnsi="仿宋_GB2312" w:eastAsia="仿宋_GB2312" w:cs="仿宋_GB2312"/>
          <w:color w:val="auto"/>
          <w:sz w:val="32"/>
          <w:szCs w:val="32"/>
          <w:lang w:eastAsia="zh-CN"/>
        </w:rPr>
        <w:t>落实党中央、国务院</w:t>
      </w:r>
      <w:r>
        <w:rPr>
          <w:rFonts w:hint="eastAsia" w:ascii="仿宋_GB2312" w:hAnsi="仿宋_GB2312" w:eastAsia="仿宋_GB2312" w:cs="仿宋_GB2312"/>
          <w:color w:val="auto"/>
          <w:sz w:val="32"/>
          <w:szCs w:val="32"/>
        </w:rPr>
        <w:t>《知识产权强国建设纲要（2021—2035）》《“十四五”国家知识产权保护和运用规划》</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实施创新驱动发展和知识产权强县战略，鼓励铅山县企事业单位和个人发明创造，促进知识产权高质量发展，根据《江西省人民政府关于加快特色型知识产权强省建设的实施意见》《江西省专利促进条例》《关于进一步加强科技创新工作的实施意见》《铅山县科技创新奖励办法（试行）》精神，特制定如下实施方案。</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lang w:val="en-US" w:eastAsia="zh-CN"/>
        </w:rPr>
        <w:t xml:space="preserve">一、总体要求 </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习近平新时代中国特色社会主义思想为指导，全面落实党中央、国务院关于知识产权工作的决策部署，建立健全知识产权工作制度，牢牢把握知识产权初心使命，充分发挥知识产权在推进国家治理体系和治理能力现代化中的重要作用，进一步提升企业知识产权创造、运用、保护和管理能力，培育一批拥有知名品牌和核心知识产权的企业，积极助推我县经济高质量发展。</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二、基本原则</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坚持“创新引领、市场主导，政府引导、多方参与，既重数量、更重质量”的原则，树立知识产权是创新的核心和载体的理念，增强企业主体意识，促进创新要素合理流动和高效配置；充分发挥政府在公共投入、政策支持等方面的引导作用，引导支持行业组织积极构建专业服务机构，高校、科研院所等机构参与承担知识产权公共服务工作；坚持在整体数量提升的基础上，以重点企业、核心领域为突破，培育更多优质的、高价值的知识产权，实现“量质齐升”。</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三、主要目标</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立权界清晰、分工合理、责权一致、运转高效、法治保障的知识产权体制机制；发明专利拥有量、有效注册商标量和高价值专利继续稳步提升；知识产权创造、保护、运用、管理和服务能力大幅提升，基本实现知识产权治理体系和治理能力现代化，努力建成知识产权强县。</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80" w:lineRule="exact"/>
        <w:ind w:leftChars="0" w:right="0" w:rightChars="0" w:firstLine="643" w:firstLineChars="20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四、主要措施</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highlight w:val="none"/>
          <w:lang w:val="en" w:eastAsia="zh-CN"/>
        </w:rPr>
        <w:t>（一）发挥政策激励创新创造导向作用</w:t>
      </w:r>
      <w:r>
        <w:rPr>
          <w:rFonts w:hint="eastAsia" w:ascii="楷体_GB2312" w:hAnsi="楷体_GB2312" w:eastAsia="楷体_GB2312" w:cs="楷体_GB2312"/>
          <w:b/>
          <w:bCs/>
          <w:color w:val="auto"/>
          <w:sz w:val="32"/>
          <w:szCs w:val="32"/>
          <w:lang w:val="en-US" w:eastAsia="zh-CN"/>
        </w:rPr>
        <w:t>，促进</w:t>
      </w:r>
      <w:r>
        <w:rPr>
          <w:rFonts w:hint="eastAsia" w:ascii="楷体_GB2312" w:hAnsi="楷体_GB2312" w:eastAsia="楷体_GB2312" w:cs="楷体_GB2312"/>
          <w:b/>
          <w:bCs/>
          <w:color w:val="auto"/>
          <w:sz w:val="32"/>
          <w:szCs w:val="32"/>
        </w:rPr>
        <w:t>知识产权</w:t>
      </w:r>
      <w:r>
        <w:rPr>
          <w:rFonts w:hint="eastAsia" w:ascii="楷体_GB2312" w:hAnsi="楷体_GB2312" w:eastAsia="楷体_GB2312" w:cs="楷体_GB2312"/>
          <w:b/>
          <w:bCs/>
          <w:color w:val="auto"/>
          <w:sz w:val="32"/>
          <w:szCs w:val="32"/>
          <w:lang w:val="en-US" w:eastAsia="zh-CN"/>
        </w:rPr>
        <w:t>量质提升</w:t>
      </w:r>
    </w:p>
    <w:p>
      <w:pPr>
        <w:keepNext w:val="0"/>
        <w:keepLines w:val="0"/>
        <w:pageBreakBefore w:val="0"/>
        <w:widowControl w:val="0"/>
        <w:kinsoku/>
        <w:wordWrap/>
        <w:overflowPunct/>
        <w:topLinePunct w:val="0"/>
        <w:autoSpaceDE/>
        <w:autoSpaceDN/>
        <w:bidi w:val="0"/>
        <w:adjustRightInd/>
        <w:snapToGrid/>
        <w:spacing w:line="580" w:lineRule="exact"/>
        <w:ind w:right="0" w:firstLine="640" w:firstLineChars="200"/>
        <w:jc w:val="both"/>
        <w:textAlignment w:val="auto"/>
        <w:rPr>
          <w:rFonts w:hint="eastAsia" w:ascii="仿宋_GB2312" w:hAnsi="仿宋_GB2312" w:eastAsia="仿宋_GB2312" w:cs="仿宋_GB2312"/>
          <w:color w:val="auto"/>
          <w:sz w:val="32"/>
          <w:szCs w:val="32"/>
          <w:highlight w:val="none"/>
          <w:lang w:val="en" w:eastAsia="zh-CN"/>
        </w:rPr>
      </w:pPr>
      <w:r>
        <w:rPr>
          <w:rFonts w:hint="eastAsia" w:ascii="仿宋_GB2312" w:hAnsi="仿宋_GB2312" w:eastAsia="仿宋_GB2312" w:cs="仿宋_GB2312"/>
          <w:color w:val="auto"/>
          <w:sz w:val="32"/>
          <w:szCs w:val="32"/>
          <w:highlight w:val="none"/>
          <w:lang w:val="en" w:eastAsia="zh-CN"/>
        </w:rPr>
        <w:t>运用好专利优先审查、集中</w:t>
      </w:r>
      <w:r>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 w:eastAsia="zh-CN" w:bidi="ar-SA"/>
        </w:rPr>
        <w:t>审查等政策，为各类创新主体开通专利申请和审查等绿色通道。利用</w:t>
      </w:r>
      <w:r>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US" w:eastAsia="zh-CN" w:bidi="ar-SA"/>
        </w:rPr>
        <w:t>发明专利奖补</w:t>
      </w:r>
      <w:r>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 w:eastAsia="zh-CN" w:bidi="ar-SA"/>
        </w:rPr>
        <w:t>政策，降低创新主体专利申请授权和维持成本。完善知识产权</w:t>
      </w:r>
      <w:r>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US" w:eastAsia="zh-CN" w:bidi="ar-SA"/>
        </w:rPr>
        <w:t>创造、</w:t>
      </w:r>
      <w:r>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 w:eastAsia="zh-CN" w:bidi="ar-SA"/>
        </w:rPr>
        <w:t>转化运用</w:t>
      </w:r>
      <w:r>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US" w:eastAsia="zh-CN" w:bidi="ar-SA"/>
        </w:rPr>
        <w:t>资金</w:t>
      </w:r>
      <w:r>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 w:eastAsia="zh-CN" w:bidi="ar-SA"/>
        </w:rPr>
        <w:t>激励政策，引导市场主体在关键核心技术领域</w:t>
      </w:r>
      <w:r>
        <w:rPr>
          <w:rFonts w:hint="eastAsia" w:ascii="仿宋_GB2312" w:hAnsi="仿宋_GB2312" w:eastAsia="仿宋_GB2312" w:cs="仿宋_GB2312"/>
          <w:color w:val="auto"/>
          <w:sz w:val="32"/>
          <w:szCs w:val="32"/>
          <w:highlight w:val="none"/>
          <w:lang w:val="en" w:eastAsia="zh-CN"/>
        </w:rPr>
        <w:t>强化知识产权布局，促进知识产权高效运用。</w:t>
      </w:r>
    </w:p>
    <w:p>
      <w:pPr>
        <w:keepNext w:val="0"/>
        <w:keepLines w:val="0"/>
        <w:pageBreakBefore w:val="0"/>
        <w:widowControl w:val="0"/>
        <w:kinsoku/>
        <w:wordWrap/>
        <w:overflowPunct/>
        <w:topLinePunct w:val="0"/>
        <w:autoSpaceDE/>
        <w:autoSpaceDN/>
        <w:bidi w:val="0"/>
        <w:adjustRightInd/>
        <w:snapToGrid/>
        <w:spacing w:line="580" w:lineRule="exact"/>
        <w:ind w:right="0" w:firstLine="640" w:firstLineChars="200"/>
        <w:jc w:val="both"/>
        <w:textAlignment w:val="auto"/>
        <w:rPr>
          <w:rFonts w:hint="eastAsia" w:ascii="仿宋_GB2312" w:hAnsi="仿宋_GB2312" w:eastAsia="仿宋_GB2312" w:cs="仿宋_GB2312"/>
          <w:i w:val="0"/>
          <w:caps w:val="0"/>
          <w:color w:val="auto"/>
          <w:spacing w:val="0"/>
          <w:kern w:val="0"/>
          <w:sz w:val="32"/>
          <w:szCs w:val="32"/>
          <w:highlight w:val="none"/>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highlight w:val="none"/>
          <w:shd w:val="clear" w:color="auto" w:fill="FFFFFF"/>
          <w:lang w:val="en-US" w:eastAsia="zh-CN" w:bidi="ar"/>
        </w:rPr>
        <w:t>1.对当年新获得国内发明专利权的，给予每件5万元奖励。</w:t>
      </w:r>
    </w:p>
    <w:p>
      <w:pPr>
        <w:keepNext w:val="0"/>
        <w:keepLines w:val="0"/>
        <w:pageBreakBefore w:val="0"/>
        <w:widowControl w:val="0"/>
        <w:kinsoku/>
        <w:wordWrap/>
        <w:overflowPunct/>
        <w:topLinePunct w:val="0"/>
        <w:autoSpaceDE/>
        <w:autoSpaceDN/>
        <w:bidi w:val="0"/>
        <w:adjustRightInd/>
        <w:snapToGrid/>
        <w:spacing w:line="580" w:lineRule="exact"/>
        <w:ind w:right="0" w:firstLine="640" w:firstLineChars="200"/>
        <w:jc w:val="both"/>
        <w:textAlignment w:val="auto"/>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US" w:eastAsia="zh-CN" w:bidi="ar-SA"/>
        </w:rPr>
      </w:pPr>
      <w:r>
        <w:rPr>
          <w:rFonts w:hint="eastAsia" w:ascii="仿宋_GB2312" w:hAnsi="仿宋_GB2312" w:eastAsia="仿宋_GB2312" w:cs="仿宋_GB2312"/>
          <w:color w:val="auto"/>
          <w:sz w:val="32"/>
          <w:szCs w:val="32"/>
          <w:highlight w:val="none"/>
          <w:shd w:val="clear" w:color="auto" w:fill="FFFFFF"/>
          <w:lang w:val="en-US" w:eastAsia="zh-CN"/>
        </w:rPr>
        <w:t>2.支持</w:t>
      </w:r>
      <w:r>
        <w:rPr>
          <w:rFonts w:hint="eastAsia" w:ascii="仿宋_GB2312" w:hAnsi="仿宋_GB2312" w:eastAsia="仿宋_GB2312" w:cs="仿宋_GB2312"/>
          <w:color w:val="auto"/>
          <w:sz w:val="32"/>
          <w:szCs w:val="32"/>
          <w:highlight w:val="none"/>
          <w:shd w:val="clear" w:color="auto" w:fill="FFFFFF"/>
        </w:rPr>
        <w:t>专利权人长期持有发明专利，</w:t>
      </w:r>
      <w:r>
        <w:rPr>
          <w:rFonts w:hint="eastAsia" w:ascii="仿宋_GB2312" w:hAnsi="仿宋_GB2312" w:eastAsia="仿宋_GB2312" w:cs="仿宋_GB2312"/>
          <w:color w:val="auto"/>
          <w:sz w:val="32"/>
          <w:szCs w:val="32"/>
          <w:highlight w:val="none"/>
          <w:shd w:val="clear" w:color="auto" w:fill="FFFFFF"/>
          <w:lang w:val="en-US" w:eastAsia="zh-CN"/>
        </w:rPr>
        <w:t>稳定高价值发明专利（维持十年以上的高年限发明专利）数量。对持有时间5年以上（含5年）的有效发明专利的专利年费由县财政予以全额补贴。</w:t>
      </w:r>
    </w:p>
    <w:p>
      <w:pPr>
        <w:pStyle w:val="16"/>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US" w:eastAsia="zh-CN" w:bidi="ar-SA"/>
        </w:rPr>
      </w:pPr>
      <w:r>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US" w:eastAsia="zh-CN" w:bidi="ar-SA"/>
        </w:rPr>
        <w:t>3.对单个商标新通过马德里商标国际注册的企业，按每件商标注册官费予以全额奖励，每个企业奖励最高不超过10万元。</w:t>
      </w:r>
    </w:p>
    <w:p>
      <w:pPr>
        <w:pStyle w:val="16"/>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US" w:eastAsia="zh-CN" w:bidi="ar-SA"/>
        </w:rPr>
      </w:pPr>
      <w:r>
        <w:rPr>
          <w:rFonts w:hint="eastAsia" w:ascii="仿宋_GB2312" w:hAnsi="仿宋_GB2312" w:eastAsia="仿宋_GB2312" w:cs="仿宋_GB2312"/>
          <w:b w:val="0"/>
          <w:bCs/>
          <w:i w:val="0"/>
          <w:caps w:val="0"/>
          <w:color w:val="auto"/>
          <w:spacing w:val="0"/>
          <w:kern w:val="0"/>
          <w:sz w:val="32"/>
          <w:szCs w:val="32"/>
          <w:highlight w:val="none"/>
          <w:shd w:val="clear" w:color="auto" w:fill="FFFFFF"/>
          <w:lang w:val="en-US" w:eastAsia="zh-CN" w:bidi="ar-SA"/>
        </w:rPr>
        <w:t>4.培育高价值核心专利。围绕我县电子信息、中医药、新能源、新材料、现代家具等战略性新兴产业以及优势支持产业，引导建设产业知识产权联盟，在此基础上培育形成一批支撑产业发展的高价值专利组合。</w:t>
      </w:r>
    </w:p>
    <w:p>
      <w:pPr>
        <w:pStyle w:val="16"/>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val="0"/>
          <w:color w:val="auto"/>
          <w:sz w:val="32"/>
          <w:szCs w:val="32"/>
          <w:highlight w:val="none"/>
        </w:rPr>
      </w:pPr>
      <w:r>
        <w:rPr>
          <w:rFonts w:hint="eastAsia" w:ascii="楷体_GB2312" w:hAnsi="楷体_GB2312" w:eastAsia="楷体_GB2312" w:cs="楷体_GB2312"/>
          <w:b/>
          <w:bCs w:val="0"/>
          <w:i w:val="0"/>
          <w:caps w:val="0"/>
          <w:color w:val="auto"/>
          <w:spacing w:val="0"/>
          <w:kern w:val="0"/>
          <w:sz w:val="32"/>
          <w:szCs w:val="32"/>
          <w:highlight w:val="none"/>
          <w:shd w:val="clear" w:color="auto" w:fill="FFFFFF"/>
          <w:lang w:val="en-US" w:eastAsia="zh-CN"/>
        </w:rPr>
        <w:t>（二）持续推进知识产</w:t>
      </w:r>
      <w:r>
        <w:rPr>
          <w:rFonts w:hint="eastAsia" w:ascii="楷体_GB2312" w:hAnsi="楷体_GB2312" w:eastAsia="楷体_GB2312" w:cs="楷体_GB2312"/>
          <w:b/>
          <w:bCs w:val="0"/>
          <w:color w:val="auto"/>
          <w:sz w:val="32"/>
          <w:szCs w:val="32"/>
          <w:highlight w:val="none"/>
        </w:rPr>
        <w:t>权金融工作</w:t>
      </w:r>
      <w:r>
        <w:rPr>
          <w:rFonts w:hint="eastAsia" w:ascii="楷体_GB2312" w:hAnsi="楷体_GB2312" w:eastAsia="楷体_GB2312" w:cs="楷体_GB2312"/>
          <w:b/>
          <w:bCs w:val="0"/>
          <w:color w:val="auto"/>
          <w:sz w:val="32"/>
          <w:szCs w:val="32"/>
          <w:highlight w:val="none"/>
          <w:lang w:eastAsia="zh-CN"/>
        </w:rPr>
        <w:t>，</w:t>
      </w:r>
      <w:r>
        <w:rPr>
          <w:rFonts w:hint="eastAsia" w:ascii="楷体_GB2312" w:hAnsi="楷体_GB2312" w:eastAsia="楷体_GB2312" w:cs="楷体_GB2312"/>
          <w:b/>
          <w:bCs w:val="0"/>
          <w:color w:val="auto"/>
          <w:sz w:val="32"/>
          <w:szCs w:val="32"/>
          <w:lang w:val="en-US" w:eastAsia="zh-CN"/>
        </w:rPr>
        <w:t>强化“政企银保服”协同联动</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进一步优化知识产权质押融资体系，健全知识产权质押融资风险管控机制，鼓励知识产权保险、信用担保等金融产品创新，</w:t>
      </w:r>
      <w:r>
        <w:rPr>
          <w:rFonts w:hint="eastAsia" w:ascii="仿宋_GB2312" w:hAnsi="仿宋_GB2312" w:eastAsia="仿宋_GB2312" w:cs="仿宋_GB2312"/>
          <w:color w:val="auto"/>
          <w:sz w:val="32"/>
          <w:szCs w:val="32"/>
          <w:highlight w:val="none"/>
          <w:lang w:val="en-US" w:eastAsia="zh-CN"/>
        </w:rPr>
        <w:t>帮助科技型中小微企业解决融资困难，</w:t>
      </w:r>
      <w:r>
        <w:rPr>
          <w:rFonts w:hint="eastAsia" w:ascii="仿宋_GB2312" w:hAnsi="仿宋_GB2312" w:eastAsia="仿宋_GB2312" w:cs="仿宋_GB2312"/>
          <w:color w:val="auto"/>
          <w:sz w:val="32"/>
          <w:szCs w:val="32"/>
          <w:highlight w:val="none"/>
        </w:rPr>
        <w:t>在风险可控的基础上扩大专利权和商标权质押融资规模。</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80" w:lineRule="exact"/>
        <w:ind w:right="0" w:rightChars="0" w:firstLine="640" w:firstLineChars="200"/>
        <w:textAlignment w:val="auto"/>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b w:val="0"/>
          <w:bCs w:val="0"/>
          <w:color w:val="auto"/>
          <w:sz w:val="32"/>
          <w:szCs w:val="32"/>
          <w:highlight w:val="none"/>
          <w:shd w:val="clear" w:color="auto" w:fill="FFFFFF"/>
          <w:lang w:val="en-US" w:eastAsia="zh-CN"/>
        </w:rPr>
        <w:t>1.</w:t>
      </w:r>
      <w:r>
        <w:rPr>
          <w:rFonts w:hint="eastAsia" w:ascii="仿宋_GB2312" w:hAnsi="仿宋_GB2312" w:eastAsia="仿宋_GB2312" w:cs="仿宋_GB2312"/>
          <w:b w:val="0"/>
          <w:bCs w:val="0"/>
          <w:color w:val="auto"/>
          <w:sz w:val="32"/>
          <w:szCs w:val="32"/>
          <w:highlight w:val="none"/>
          <w:shd w:val="clear" w:color="auto" w:fill="FFFFFF"/>
        </w:rPr>
        <w:t>专利权质押融资贴息。</w:t>
      </w:r>
      <w:r>
        <w:rPr>
          <w:rFonts w:hint="eastAsia" w:ascii="仿宋_GB2312" w:hAnsi="仿宋_GB2312" w:eastAsia="仿宋_GB2312" w:cs="仿宋_GB2312"/>
          <w:color w:val="auto"/>
          <w:sz w:val="32"/>
          <w:szCs w:val="32"/>
          <w:shd w:val="clear" w:color="auto" w:fill="FFFFFF"/>
        </w:rPr>
        <w:t>以专利权质押融资并运用于本区企业生产经营的，企业还贷后给予同期一年期贷款市场报价利率（LPR）的</w:t>
      </w:r>
      <w:r>
        <w:rPr>
          <w:rFonts w:hint="eastAsia" w:ascii="仿宋_GB2312" w:hAnsi="仿宋_GB2312" w:eastAsia="仿宋_GB2312" w:cs="仿宋_GB2312"/>
          <w:color w:val="auto"/>
          <w:sz w:val="32"/>
          <w:szCs w:val="32"/>
          <w:shd w:val="clear" w:color="auto" w:fill="FFFFFF"/>
          <w:lang w:val="en-US" w:eastAsia="zh-CN"/>
        </w:rPr>
        <w:t>10%至3</w:t>
      </w:r>
      <w:r>
        <w:rPr>
          <w:rFonts w:hint="eastAsia" w:ascii="仿宋_GB2312" w:hAnsi="仿宋_GB2312" w:eastAsia="仿宋_GB2312" w:cs="仿宋_GB2312"/>
          <w:color w:val="auto"/>
          <w:sz w:val="32"/>
          <w:szCs w:val="32"/>
          <w:shd w:val="clear" w:color="auto" w:fill="FFFFFF"/>
        </w:rPr>
        <w:t>0%予以贴息，每家企业享受贴息总金额最高不超过</w:t>
      </w:r>
      <w:r>
        <w:rPr>
          <w:rFonts w:hint="eastAsia" w:ascii="仿宋_GB2312" w:hAnsi="仿宋_GB2312" w:eastAsia="仿宋_GB2312" w:cs="仿宋_GB2312"/>
          <w:color w:val="auto"/>
          <w:sz w:val="32"/>
          <w:szCs w:val="32"/>
          <w:shd w:val="clear" w:color="auto" w:fill="FFFFFF"/>
          <w:lang w:val="en-US" w:eastAsia="zh-CN"/>
        </w:rPr>
        <w:t>2</w:t>
      </w:r>
      <w:r>
        <w:rPr>
          <w:rFonts w:hint="eastAsia" w:ascii="仿宋_GB2312" w:hAnsi="仿宋_GB2312" w:eastAsia="仿宋_GB2312" w:cs="仿宋_GB2312"/>
          <w:color w:val="auto"/>
          <w:sz w:val="32"/>
          <w:szCs w:val="32"/>
          <w:shd w:val="clear" w:color="auto" w:fill="FFFFFF"/>
        </w:rPr>
        <w:t>0万元</w:t>
      </w:r>
      <w:r>
        <w:rPr>
          <w:rFonts w:hint="eastAsia" w:ascii="仿宋_GB2312" w:hAnsi="仿宋_GB2312" w:eastAsia="仿宋_GB2312" w:cs="仿宋_GB2312"/>
          <w:color w:val="auto"/>
          <w:sz w:val="32"/>
          <w:szCs w:val="32"/>
          <w:shd w:val="clear" w:color="auto" w:fill="FFFFFF"/>
          <w:lang w:eastAsia="zh-CN"/>
        </w:rPr>
        <w:t>。</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80" w:lineRule="exact"/>
        <w:ind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shd w:val="clear" w:color="auto" w:fill="FFFFFF"/>
          <w:lang w:val="en-US" w:eastAsia="zh-CN"/>
        </w:rPr>
        <w:t>2.专利权评估费资助。按专利权评估费的50%给予补助，最高不超过3万元。</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80" w:lineRule="exact"/>
        <w:ind w:right="0" w:righ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highlight w:val="none"/>
          <w:lang w:val="en-US" w:eastAsia="zh-CN"/>
        </w:rPr>
        <w:t>3.质押融资服务费补贴。按第三方服务机构专利权质押融资服务费的50%予以补贴，</w:t>
      </w:r>
      <w:r>
        <w:rPr>
          <w:rFonts w:hint="eastAsia" w:ascii="仿宋_GB2312" w:hAnsi="仿宋_GB2312" w:eastAsia="仿宋_GB2312" w:cs="仿宋_GB2312"/>
          <w:color w:val="auto"/>
          <w:sz w:val="32"/>
          <w:szCs w:val="32"/>
          <w:shd w:val="clear" w:color="auto" w:fill="FFFFFF"/>
          <w:lang w:val="en-US" w:eastAsia="zh-CN"/>
        </w:rPr>
        <w:t>最高不超过3万元。</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eastAsia="zh-CN"/>
        </w:rPr>
        <w:t>（三）</w:t>
      </w:r>
      <w:r>
        <w:rPr>
          <w:rFonts w:hint="eastAsia" w:ascii="楷体_GB2312" w:hAnsi="楷体_GB2312" w:eastAsia="楷体_GB2312" w:cs="楷体_GB2312"/>
          <w:b/>
          <w:bCs/>
          <w:color w:val="auto"/>
          <w:sz w:val="32"/>
          <w:szCs w:val="32"/>
        </w:rPr>
        <w:t>全面贯彻知识产权保护工作实施意见，有力支撑经济高质量发展</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完善知识产权行政保护体系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制定完善专利权、商标权</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地理标志等知识产权领域的保护规则，全面落实知识产权保护标准，切实降低权利人维权成本。</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加大知识产权行政执法力度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重拳打击知识产权侵权假冒行为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贯彻执行知识产权侵权惩罚性赔偿制度。加大商标恶意注册、非正常专利申请以及恶意诉讼行为打击力度。加大对制假源头、重复侵权、恶意侵权、群体侵权的查处力度，防止侵权活动蔓延。持续开展知识产权保护专项行动，切实加大知识产权案件查处力度。</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加大知识产权保护平台建设力度。支持建立知识产权维权援助工作站</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完善专利、商标、著作权等领域执法维权程序，持续为企业提供知识产权信息检索、法律咨询、纠纷调解等综合性维权服务。</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eastAsia="zh-CN"/>
        </w:rPr>
        <w:t>（四）</w:t>
      </w:r>
      <w:r>
        <w:rPr>
          <w:rFonts w:hint="eastAsia" w:ascii="楷体_GB2312" w:hAnsi="楷体_GB2312" w:eastAsia="楷体_GB2312" w:cs="楷体_GB2312"/>
          <w:b/>
          <w:bCs/>
          <w:color w:val="auto"/>
          <w:sz w:val="32"/>
          <w:szCs w:val="32"/>
        </w:rPr>
        <w:t>提升知识产权公共服务水平，助力实体经济稳健发展</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促进知识产权服务业与我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优势产业融合发展。聚焦我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重点发展领域和重点产业需求，探索建立知识产权服务对接重点产业、重点项目工作机制，鼓励和引导知识产权服务机构提供知识产权风险管控、布局分析等高端服务。鼓励知识产权服务机构为创新主体提供全链条、专业化知识产权服务，支持企业创新发展和产业转型升级。</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80" w:lineRule="exact"/>
        <w:ind w:right="0" w:rightChars="0"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（五）优化知识产权人才发展环境，建立多层次知识产权人才培养体系</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多渠道、多层次</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开展知识产权教育培训工作，加大对知识产权领域专业技术人才培养培训工作的支持力度。完善知识产权人才分类培训体系，健全人才保障和激励机制，做好知识产权行政管理和执法人员轮训工作。</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3" w:firstLineChars="200"/>
        <w:textAlignment w:val="auto"/>
        <w:rPr>
          <w:rFonts w:hint="default"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五、知识产权专项奖补申请及拨付</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textAlignment w:val="auto"/>
        <w:rPr>
          <w:rFonts w:hint="eastAsia" w:ascii="楷体_GB2312" w:hAnsi="楷体_GB2312" w:eastAsia="楷体_GB2312" w:cs="楷体_GB2312"/>
          <w:b/>
          <w:bCs/>
          <w:color w:val="auto"/>
          <w:sz w:val="32"/>
          <w:szCs w:val="32"/>
          <w:lang w:val="en-US" w:eastAsia="en-US"/>
        </w:rPr>
      </w:pPr>
      <w:r>
        <w:rPr>
          <w:rFonts w:hint="eastAsia" w:ascii="楷体_GB2312" w:hAnsi="楷体_GB2312" w:eastAsia="楷体_GB2312" w:cs="楷体_GB2312"/>
          <w:b/>
          <w:bCs/>
          <w:color w:val="auto"/>
          <w:sz w:val="32"/>
          <w:szCs w:val="32"/>
          <w:lang w:val="en-US" w:eastAsia="zh-CN"/>
        </w:rPr>
        <w:t>（一）</w:t>
      </w:r>
      <w:r>
        <w:rPr>
          <w:rFonts w:hint="eastAsia" w:ascii="楷体_GB2312" w:hAnsi="楷体_GB2312" w:eastAsia="楷体_GB2312" w:cs="楷体_GB2312"/>
          <w:b/>
          <w:bCs/>
          <w:color w:val="auto"/>
          <w:sz w:val="32"/>
          <w:szCs w:val="32"/>
          <w:lang w:val="en-US" w:eastAsia="en-US"/>
        </w:rPr>
        <w:t>企业按以下要求提供资料</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1.填写知识产权奖补申请表（附件1）、承诺书（附件2）、申请报告；</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营业执照原件及复印件、税务登记证原件及复印件；</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按类别提供相关佐证材料。</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（二）</w:t>
      </w:r>
      <w:r>
        <w:rPr>
          <w:rFonts w:hint="eastAsia" w:ascii="仿宋_GB2312" w:hAnsi="仿宋_GB2312" w:eastAsia="仿宋_GB2312" w:cs="仿宋_GB2312"/>
          <w:color w:val="auto"/>
          <w:sz w:val="32"/>
          <w:szCs w:val="32"/>
          <w:lang w:val="en-US" w:eastAsia="zh-CN"/>
        </w:rPr>
        <w:t>县市场监督管理局接到企业奖补申请后，会同相关部门进行</w:t>
      </w:r>
      <w:r>
        <w:rPr>
          <w:rFonts w:hint="eastAsia" w:ascii="仿宋_GB2312" w:hAnsi="仿宋_GB2312" w:eastAsia="仿宋_GB2312" w:cs="仿宋_GB2312"/>
          <w:color w:val="auto"/>
          <w:sz w:val="32"/>
          <w:szCs w:val="32"/>
          <w:lang w:val="en-US" w:eastAsia="en-US"/>
        </w:rPr>
        <w:t>审查核实</w:t>
      </w:r>
      <w:r>
        <w:rPr>
          <w:rFonts w:hint="eastAsia" w:ascii="仿宋_GB2312" w:hAnsi="仿宋_GB2312" w:eastAsia="仿宋_GB2312" w:cs="仿宋_GB2312"/>
          <w:color w:val="auto"/>
          <w:sz w:val="32"/>
          <w:szCs w:val="32"/>
          <w:lang w:val="en-US" w:eastAsia="zh-CN"/>
        </w:rPr>
        <w:t>。审查核实并经公示无异议后，报县政府常务会议、县委常委（扩大）会议研究确定，县财政局将奖励补助资金</w:t>
      </w:r>
      <w:r>
        <w:rPr>
          <w:rFonts w:hint="eastAsia" w:ascii="仿宋_GB2312" w:hAnsi="仿宋_GB2312" w:eastAsia="仿宋_GB2312" w:cs="仿宋_GB2312"/>
          <w:color w:val="auto"/>
          <w:sz w:val="32"/>
          <w:szCs w:val="32"/>
          <w:lang w:val="en-US" w:eastAsia="en-US"/>
        </w:rPr>
        <w:t>拨付</w:t>
      </w:r>
      <w:r>
        <w:rPr>
          <w:rFonts w:hint="eastAsia" w:ascii="仿宋_GB2312" w:hAnsi="仿宋_GB2312" w:eastAsia="仿宋_GB2312" w:cs="仿宋_GB2312"/>
          <w:color w:val="auto"/>
          <w:sz w:val="32"/>
          <w:szCs w:val="32"/>
          <w:lang w:val="en-US" w:eastAsia="zh-CN"/>
        </w:rPr>
        <w:t>给县市场监督管理局予以核拨。</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（三）</w:t>
      </w:r>
      <w:r>
        <w:rPr>
          <w:rFonts w:hint="eastAsia" w:ascii="仿宋_GB2312" w:hAnsi="仿宋_GB2312" w:eastAsia="仿宋_GB2312" w:cs="仿宋_GB2312"/>
          <w:color w:val="auto"/>
          <w:sz w:val="32"/>
          <w:szCs w:val="32"/>
          <w:lang w:val="en-US" w:eastAsia="zh-CN"/>
        </w:rPr>
        <w:t>资助和奖励项目每年受理一次，经县市场监督管理局初审后报县财政局复审拨付资金。</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3" w:firstLineChars="20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六、保障措施</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eastAsia="zh-CN"/>
        </w:rPr>
        <w:t>（一）</w:t>
      </w:r>
      <w:r>
        <w:rPr>
          <w:rFonts w:hint="eastAsia" w:ascii="楷体_GB2312" w:hAnsi="楷体_GB2312" w:eastAsia="楷体_GB2312" w:cs="楷体_GB2312"/>
          <w:b/>
          <w:bCs/>
          <w:color w:val="auto"/>
          <w:sz w:val="32"/>
          <w:szCs w:val="32"/>
        </w:rPr>
        <w:t>加强组织领导</w:t>
      </w:r>
      <w:r>
        <w:rPr>
          <w:rFonts w:hint="eastAsia" w:ascii="仿宋_GB2312" w:hAnsi="仿宋_GB2312" w:eastAsia="仿宋_GB2312" w:cs="仿宋_GB2312"/>
          <w:color w:val="auto"/>
          <w:sz w:val="32"/>
          <w:szCs w:val="32"/>
        </w:rPr>
        <w:t>。全面加强党对知识产权工作的领导，进一步加强知识产权联席会议的指导协调</w:t>
      </w:r>
      <w:r>
        <w:rPr>
          <w:rFonts w:hint="eastAsia" w:ascii="仿宋_GB2312" w:hAnsi="仿宋_GB2312" w:eastAsia="仿宋_GB2312" w:cs="仿宋_GB2312"/>
          <w:color w:val="auto"/>
          <w:sz w:val="32"/>
          <w:szCs w:val="32"/>
          <w:lang w:eastAsia="zh-CN"/>
        </w:rPr>
        <w:t>和统筹</w:t>
      </w:r>
      <w:r>
        <w:rPr>
          <w:rFonts w:hint="eastAsia" w:ascii="仿宋_GB2312" w:hAnsi="仿宋_GB2312" w:eastAsia="仿宋_GB2312" w:cs="仿宋_GB2312"/>
          <w:color w:val="auto"/>
          <w:sz w:val="32"/>
          <w:szCs w:val="32"/>
        </w:rPr>
        <w:t>职能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指导</w:t>
      </w:r>
      <w:r>
        <w:rPr>
          <w:rFonts w:hint="eastAsia" w:ascii="仿宋_GB2312" w:hAnsi="仿宋_GB2312" w:eastAsia="仿宋_GB2312" w:cs="仿宋_GB2312"/>
          <w:color w:val="auto"/>
          <w:sz w:val="32"/>
          <w:szCs w:val="32"/>
          <w:lang w:val="en-US" w:eastAsia="zh-CN"/>
        </w:rPr>
        <w:t>各相关单位</w:t>
      </w:r>
      <w:r>
        <w:rPr>
          <w:rFonts w:hint="eastAsia" w:ascii="仿宋_GB2312" w:hAnsi="仿宋_GB2312" w:eastAsia="仿宋_GB2312" w:cs="仿宋_GB2312"/>
          <w:color w:val="auto"/>
          <w:sz w:val="32"/>
          <w:szCs w:val="32"/>
        </w:rPr>
        <w:t>开展工作，协调好跨区域、跨部门重要事项。</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3"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bCs/>
          <w:color w:val="auto"/>
          <w:sz w:val="32"/>
          <w:szCs w:val="32"/>
          <w:lang w:eastAsia="zh-CN"/>
        </w:rPr>
        <w:t>（二）加强监督考核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i w:val="0"/>
          <w:caps w:val="0"/>
          <w:color w:val="auto"/>
          <w:spacing w:val="0"/>
          <w:sz w:val="32"/>
          <w:szCs w:val="32"/>
          <w:shd w:val="clear" w:color="auto" w:fill="FFFFFF"/>
        </w:rPr>
        <w:t>专项</w:t>
      </w:r>
      <w:r>
        <w:rPr>
          <w:rFonts w:hint="eastAsia" w:ascii="仿宋_GB2312" w:hAnsi="仿宋_GB2312" w:eastAsia="仿宋_GB2312" w:cs="仿宋_GB2312"/>
          <w:i w:val="0"/>
          <w:caps w:val="0"/>
          <w:color w:val="auto"/>
          <w:spacing w:val="0"/>
          <w:sz w:val="32"/>
          <w:szCs w:val="32"/>
          <w:shd w:val="clear" w:color="auto" w:fill="FFFFFF"/>
          <w:lang w:val="en-US" w:eastAsia="zh-CN"/>
        </w:rPr>
        <w:t>奖补</w:t>
      </w:r>
      <w:r>
        <w:rPr>
          <w:rFonts w:hint="eastAsia" w:ascii="仿宋_GB2312" w:hAnsi="仿宋_GB2312" w:eastAsia="仿宋_GB2312" w:cs="仿宋_GB2312"/>
          <w:i w:val="0"/>
          <w:caps w:val="0"/>
          <w:color w:val="auto"/>
          <w:spacing w:val="0"/>
          <w:sz w:val="32"/>
          <w:szCs w:val="32"/>
          <w:shd w:val="clear" w:color="auto" w:fill="FFFFFF"/>
        </w:rPr>
        <w:t>资金应单独核算，专款专用，追踪问效。加强信用管理和监督考核，实行责任追究制度，建立注重结果的绩效评价制度。专项</w:t>
      </w:r>
      <w:r>
        <w:rPr>
          <w:rFonts w:hint="eastAsia" w:ascii="仿宋_GB2312" w:hAnsi="仿宋_GB2312" w:eastAsia="仿宋_GB2312" w:cs="仿宋_GB2312"/>
          <w:i w:val="0"/>
          <w:caps w:val="0"/>
          <w:color w:val="auto"/>
          <w:spacing w:val="0"/>
          <w:sz w:val="32"/>
          <w:szCs w:val="32"/>
          <w:shd w:val="clear" w:color="auto" w:fill="FFFFFF"/>
          <w:lang w:val="en-US" w:eastAsia="zh-CN"/>
        </w:rPr>
        <w:t>奖补</w:t>
      </w:r>
      <w:r>
        <w:rPr>
          <w:rFonts w:hint="eastAsia" w:ascii="仿宋_GB2312" w:hAnsi="仿宋_GB2312" w:eastAsia="仿宋_GB2312" w:cs="仿宋_GB2312"/>
          <w:i w:val="0"/>
          <w:caps w:val="0"/>
          <w:color w:val="auto"/>
          <w:spacing w:val="0"/>
          <w:sz w:val="32"/>
          <w:szCs w:val="32"/>
          <w:shd w:val="clear" w:color="auto" w:fill="FFFFFF"/>
        </w:rPr>
        <w:t>资金</w:t>
      </w:r>
      <w:r>
        <w:rPr>
          <w:rFonts w:hint="eastAsia" w:ascii="仿宋_GB2312" w:hAnsi="仿宋_GB2312" w:eastAsia="仿宋_GB2312" w:cs="仿宋_GB2312"/>
          <w:i w:val="0"/>
          <w:caps w:val="0"/>
          <w:color w:val="auto"/>
          <w:spacing w:val="0"/>
          <w:sz w:val="32"/>
          <w:szCs w:val="32"/>
          <w:shd w:val="clear" w:color="auto" w:fill="FFFFFF"/>
          <w:lang w:eastAsia="zh-CN"/>
        </w:rPr>
        <w:t>主要用于扶持知识产权创造、运用和保护等工作。专项</w:t>
      </w:r>
      <w:r>
        <w:rPr>
          <w:rFonts w:hint="eastAsia" w:ascii="仿宋_GB2312" w:hAnsi="仿宋_GB2312" w:eastAsia="仿宋_GB2312" w:cs="仿宋_GB2312"/>
          <w:i w:val="0"/>
          <w:caps w:val="0"/>
          <w:color w:val="auto"/>
          <w:spacing w:val="0"/>
          <w:sz w:val="32"/>
          <w:szCs w:val="32"/>
          <w:shd w:val="clear" w:color="auto" w:fill="FFFFFF"/>
          <w:lang w:val="en-US" w:eastAsia="zh-CN"/>
        </w:rPr>
        <w:t>奖补</w:t>
      </w:r>
      <w:r>
        <w:rPr>
          <w:rFonts w:hint="eastAsia" w:ascii="仿宋_GB2312" w:hAnsi="仿宋_GB2312" w:eastAsia="仿宋_GB2312" w:cs="仿宋_GB2312"/>
          <w:i w:val="0"/>
          <w:caps w:val="0"/>
          <w:color w:val="auto"/>
          <w:spacing w:val="0"/>
          <w:sz w:val="32"/>
          <w:szCs w:val="32"/>
          <w:shd w:val="clear" w:color="auto" w:fill="FFFFFF"/>
          <w:lang w:eastAsia="zh-CN"/>
        </w:rPr>
        <w:t>资金的使用</w:t>
      </w:r>
      <w:r>
        <w:rPr>
          <w:rFonts w:hint="eastAsia" w:ascii="仿宋_GB2312" w:hAnsi="仿宋_GB2312" w:eastAsia="仿宋_GB2312" w:cs="仿宋_GB2312"/>
          <w:i w:val="0"/>
          <w:caps w:val="0"/>
          <w:color w:val="auto"/>
          <w:spacing w:val="0"/>
          <w:sz w:val="32"/>
          <w:szCs w:val="32"/>
          <w:shd w:val="clear" w:color="auto" w:fill="FFFFFF"/>
        </w:rPr>
        <w:t>坚持公开、公平、公正，</w:t>
      </w:r>
      <w:r>
        <w:rPr>
          <w:rFonts w:hint="eastAsia" w:ascii="仿宋_GB2312" w:hAnsi="仿宋_GB2312" w:eastAsia="仿宋_GB2312" w:cs="仿宋_GB2312"/>
          <w:i w:val="0"/>
          <w:caps w:val="0"/>
          <w:color w:val="auto"/>
          <w:spacing w:val="0"/>
          <w:sz w:val="32"/>
          <w:szCs w:val="32"/>
          <w:shd w:val="clear" w:color="auto" w:fill="FFFFFF"/>
          <w:lang w:eastAsia="zh-CN"/>
        </w:rPr>
        <w:t>实行无偿资助</w:t>
      </w:r>
      <w:r>
        <w:rPr>
          <w:rFonts w:hint="eastAsia" w:ascii="仿宋_GB2312" w:hAnsi="仿宋_GB2312" w:eastAsia="仿宋_GB2312" w:cs="仿宋_GB2312"/>
          <w:i w:val="0"/>
          <w:caps w:val="0"/>
          <w:color w:val="auto"/>
          <w:spacing w:val="0"/>
          <w:sz w:val="32"/>
          <w:szCs w:val="32"/>
          <w:shd w:val="clear" w:color="auto" w:fill="FFFFFF"/>
        </w:rPr>
        <w:t>的方式</w:t>
      </w:r>
      <w:r>
        <w:rPr>
          <w:rFonts w:hint="eastAsia" w:ascii="仿宋_GB2312" w:hAnsi="仿宋_GB2312" w:eastAsia="仿宋_GB2312" w:cs="仿宋_GB2312"/>
          <w:i w:val="0"/>
          <w:caps w:val="0"/>
          <w:color w:val="auto"/>
          <w:spacing w:val="0"/>
          <w:sz w:val="32"/>
          <w:szCs w:val="32"/>
          <w:shd w:val="clear" w:color="auto" w:fill="FFFFFF"/>
          <w:lang w:eastAsia="zh-CN"/>
        </w:rPr>
        <w:t>。</w:t>
      </w:r>
      <w:r>
        <w:rPr>
          <w:rFonts w:hint="eastAsia" w:ascii="仿宋_GB2312" w:hAnsi="仿宋_GB2312" w:eastAsia="仿宋_GB2312" w:cs="仿宋_GB2312"/>
          <w:i w:val="0"/>
          <w:caps w:val="0"/>
          <w:color w:val="auto"/>
          <w:spacing w:val="0"/>
          <w:sz w:val="32"/>
          <w:szCs w:val="32"/>
          <w:shd w:val="clear" w:color="auto" w:fill="FFFFFF"/>
          <w:lang w:val="en-US" w:eastAsia="zh-CN"/>
        </w:rPr>
        <w:t>县</w:t>
      </w:r>
      <w:r>
        <w:rPr>
          <w:rFonts w:hint="eastAsia" w:ascii="仿宋_GB2312" w:hAnsi="仿宋_GB2312" w:eastAsia="仿宋_GB2312" w:cs="仿宋_GB2312"/>
          <w:i w:val="0"/>
          <w:caps w:val="0"/>
          <w:color w:val="auto"/>
          <w:spacing w:val="0"/>
          <w:sz w:val="32"/>
          <w:szCs w:val="32"/>
          <w:shd w:val="clear" w:color="auto" w:fill="FFFFFF"/>
          <w:lang w:eastAsia="zh-CN"/>
        </w:rPr>
        <w:t>市场监督管理局具体负责专项</w:t>
      </w:r>
      <w:r>
        <w:rPr>
          <w:rFonts w:hint="eastAsia" w:ascii="仿宋_GB2312" w:hAnsi="仿宋_GB2312" w:eastAsia="仿宋_GB2312" w:cs="仿宋_GB2312"/>
          <w:i w:val="0"/>
          <w:caps w:val="0"/>
          <w:color w:val="auto"/>
          <w:spacing w:val="0"/>
          <w:sz w:val="32"/>
          <w:szCs w:val="32"/>
          <w:shd w:val="clear" w:color="auto" w:fill="FFFFFF"/>
          <w:lang w:val="en-US" w:eastAsia="zh-CN"/>
        </w:rPr>
        <w:t>奖补</w:t>
      </w:r>
      <w:r>
        <w:rPr>
          <w:rFonts w:hint="eastAsia" w:ascii="仿宋_GB2312" w:hAnsi="仿宋_GB2312" w:eastAsia="仿宋_GB2312" w:cs="仿宋_GB2312"/>
          <w:i w:val="0"/>
          <w:caps w:val="0"/>
          <w:color w:val="auto"/>
          <w:spacing w:val="0"/>
          <w:sz w:val="32"/>
          <w:szCs w:val="32"/>
          <w:shd w:val="clear" w:color="auto" w:fill="FFFFFF"/>
          <w:lang w:eastAsia="zh-CN"/>
        </w:rPr>
        <w:t>资金的管理和使用。</w:t>
      </w:r>
      <w:r>
        <w:rPr>
          <w:rFonts w:hint="eastAsia" w:ascii="仿宋_GB2312" w:hAnsi="仿宋_GB2312" w:eastAsia="仿宋_GB2312" w:cs="仿宋_GB2312"/>
          <w:i w:val="0"/>
          <w:caps w:val="0"/>
          <w:color w:val="auto"/>
          <w:spacing w:val="0"/>
          <w:sz w:val="32"/>
          <w:szCs w:val="32"/>
          <w:shd w:val="clear" w:color="auto" w:fill="FFFFFF"/>
          <w:lang w:val="en-US" w:eastAsia="zh-CN"/>
        </w:rPr>
        <w:t>县</w:t>
      </w:r>
      <w:r>
        <w:rPr>
          <w:rFonts w:hint="eastAsia" w:ascii="仿宋_GB2312" w:hAnsi="仿宋_GB2312" w:eastAsia="仿宋_GB2312" w:cs="仿宋_GB2312"/>
          <w:i w:val="0"/>
          <w:caps w:val="0"/>
          <w:color w:val="auto"/>
          <w:spacing w:val="0"/>
          <w:sz w:val="32"/>
          <w:szCs w:val="32"/>
          <w:shd w:val="clear" w:color="auto" w:fill="FFFFFF"/>
          <w:lang w:eastAsia="zh-CN"/>
        </w:rPr>
        <w:t>财政局对专项</w:t>
      </w:r>
      <w:r>
        <w:rPr>
          <w:rFonts w:hint="eastAsia" w:ascii="仿宋_GB2312" w:hAnsi="仿宋_GB2312" w:eastAsia="仿宋_GB2312" w:cs="仿宋_GB2312"/>
          <w:i w:val="0"/>
          <w:caps w:val="0"/>
          <w:color w:val="auto"/>
          <w:spacing w:val="0"/>
          <w:sz w:val="32"/>
          <w:szCs w:val="32"/>
          <w:shd w:val="clear" w:color="auto" w:fill="FFFFFF"/>
          <w:lang w:val="en-US" w:eastAsia="zh-CN"/>
        </w:rPr>
        <w:t>奖补</w:t>
      </w:r>
      <w:r>
        <w:rPr>
          <w:rFonts w:hint="eastAsia" w:ascii="仿宋_GB2312" w:hAnsi="仿宋_GB2312" w:eastAsia="仿宋_GB2312" w:cs="仿宋_GB2312"/>
          <w:i w:val="0"/>
          <w:caps w:val="0"/>
          <w:color w:val="auto"/>
          <w:spacing w:val="0"/>
          <w:sz w:val="32"/>
          <w:szCs w:val="32"/>
          <w:shd w:val="clear" w:color="auto" w:fill="FFFFFF"/>
          <w:lang w:eastAsia="zh-CN"/>
        </w:rPr>
        <w:t>资金的管理和使用进行监督和检查。</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3" w:firstLineChars="200"/>
        <w:textAlignment w:val="auto"/>
        <w:rPr>
          <w:rFonts w:hint="eastAsia" w:ascii="黑体" w:hAnsi="黑体" w:eastAsia="黑体" w:cs="黑体"/>
          <w:b w:val="0"/>
          <w:bCs w:val="0"/>
          <w:color w:val="auto"/>
          <w:sz w:val="32"/>
          <w:szCs w:val="32"/>
          <w:lang w:val="en-US" w:eastAsia="zh-CN"/>
        </w:rPr>
      </w:pPr>
      <w:r>
        <w:rPr>
          <w:rFonts w:hint="eastAsia" w:ascii="楷体_GB2312" w:hAnsi="楷体_GB2312" w:eastAsia="楷体_GB2312" w:cs="楷体_GB2312"/>
          <w:b/>
          <w:bCs/>
          <w:color w:val="auto"/>
          <w:sz w:val="32"/>
          <w:szCs w:val="32"/>
          <w:lang w:eastAsia="zh-CN"/>
        </w:rPr>
        <w:t>（三）加强宣传教育。</w:t>
      </w:r>
      <w:r>
        <w:rPr>
          <w:rFonts w:hint="eastAsia" w:ascii="仿宋_GB2312" w:hAnsi="仿宋_GB2312" w:eastAsia="仿宋_GB2312" w:cs="仿宋_GB2312"/>
          <w:color w:val="auto"/>
          <w:sz w:val="32"/>
          <w:szCs w:val="32"/>
        </w:rPr>
        <w:t>将知识产权宣传纳入全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普法教育、精神文明建设、诚信建设、公益广告宣传等工作，加大对知识产权重大决策部署的宣传力度，组织开展知识产权宣传周等宣传活动，开展知识产权保护典型案例评选，</w:t>
      </w:r>
      <w:r>
        <w:rPr>
          <w:rFonts w:hint="eastAsia" w:ascii="仿宋_GB2312" w:hAnsi="仿宋_GB2312" w:eastAsia="仿宋_GB2312" w:cs="仿宋_GB2312"/>
          <w:color w:val="auto"/>
          <w:sz w:val="32"/>
          <w:szCs w:val="32"/>
          <w:lang w:eastAsia="zh-CN"/>
        </w:rPr>
        <w:t>适时</w:t>
      </w:r>
      <w:r>
        <w:rPr>
          <w:rFonts w:hint="eastAsia" w:ascii="仿宋_GB2312" w:hAnsi="仿宋_GB2312" w:eastAsia="仿宋_GB2312" w:cs="仿宋_GB2312"/>
          <w:color w:val="auto"/>
          <w:sz w:val="32"/>
          <w:szCs w:val="32"/>
        </w:rPr>
        <w:t>发布</w:t>
      </w:r>
      <w:r>
        <w:rPr>
          <w:rFonts w:hint="eastAsia" w:ascii="仿宋_GB2312" w:hAnsi="仿宋_GB2312" w:eastAsia="仿宋_GB2312" w:cs="仿宋_GB2312"/>
          <w:color w:val="auto"/>
          <w:sz w:val="32"/>
          <w:szCs w:val="32"/>
          <w:lang w:val="en-US" w:eastAsia="zh-CN"/>
        </w:rPr>
        <w:t>铅山县</w:t>
      </w:r>
      <w:r>
        <w:rPr>
          <w:rFonts w:hint="eastAsia" w:ascii="仿宋_GB2312" w:hAnsi="仿宋_GB2312" w:eastAsia="仿宋_GB2312" w:cs="仿宋_GB2312"/>
          <w:color w:val="auto"/>
          <w:sz w:val="32"/>
          <w:szCs w:val="32"/>
        </w:rPr>
        <w:t>知识产权</w:t>
      </w:r>
      <w:r>
        <w:rPr>
          <w:rFonts w:hint="eastAsia" w:ascii="仿宋_GB2312" w:hAnsi="仿宋_GB2312" w:eastAsia="仿宋_GB2312" w:cs="仿宋_GB2312"/>
          <w:color w:val="auto"/>
          <w:sz w:val="32"/>
          <w:szCs w:val="32"/>
          <w:lang w:val="en-US" w:eastAsia="zh-CN"/>
        </w:rPr>
        <w:t>状况白皮书。</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3" w:firstLineChars="200"/>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七、附则</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专利资助和奖励的申请条件、申报材料、审批程序另行制定细则。</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w:t>
      </w:r>
      <w:r>
        <w:rPr>
          <w:rFonts w:hint="eastAsia" w:ascii="仿宋_GB2312" w:hAnsi="仿宋_GB2312" w:eastAsia="仿宋_GB2312" w:cs="仿宋_GB2312"/>
          <w:color w:val="auto"/>
          <w:sz w:val="32"/>
          <w:szCs w:val="32"/>
          <w:lang w:val="en-US" w:eastAsia="zh-CN"/>
        </w:rPr>
        <w:t>方案</w:t>
      </w:r>
      <w:r>
        <w:rPr>
          <w:rFonts w:hint="eastAsia" w:ascii="仿宋_GB2312" w:hAnsi="仿宋_GB2312" w:eastAsia="仿宋_GB2312" w:cs="仿宋_GB2312"/>
          <w:color w:val="auto"/>
          <w:sz w:val="32"/>
          <w:szCs w:val="32"/>
        </w:rPr>
        <w:t>由</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市场监督管理</w:t>
      </w:r>
      <w:r>
        <w:rPr>
          <w:rFonts w:hint="eastAsia" w:ascii="仿宋_GB2312" w:hAnsi="仿宋_GB2312" w:eastAsia="仿宋_GB2312" w:cs="仿宋_GB2312"/>
          <w:color w:val="auto"/>
          <w:sz w:val="32"/>
          <w:szCs w:val="32"/>
        </w:rPr>
        <w:t>局和</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财政局负责解释。</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县财政局负责保障知识产权专项资助及奖励的资金投入，安排专项资金用于扶持知识产权创新、保护和运用。</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适用于本方案的企业和机构必须为</w:t>
      </w:r>
      <w:r>
        <w:rPr>
          <w:rFonts w:hint="eastAsia" w:ascii="仿宋_GB2312" w:hAnsi="仿宋_GB2312" w:eastAsia="仿宋_GB2312" w:cs="仿宋_GB2312"/>
          <w:color w:val="auto"/>
          <w:sz w:val="32"/>
          <w:szCs w:val="32"/>
          <w:lang w:eastAsia="zh-CN"/>
        </w:rPr>
        <w:t>铅山县</w:t>
      </w:r>
      <w:r>
        <w:rPr>
          <w:rFonts w:hint="eastAsia" w:ascii="仿宋_GB2312" w:hAnsi="仿宋_GB2312" w:eastAsia="仿宋_GB2312" w:cs="仿宋_GB2312"/>
          <w:color w:val="auto"/>
          <w:sz w:val="32"/>
          <w:szCs w:val="32"/>
        </w:rPr>
        <w:t>内注册，具有独立法人资格</w:t>
      </w:r>
      <w:r>
        <w:rPr>
          <w:rFonts w:hint="eastAsia" w:ascii="仿宋_GB2312" w:hAnsi="仿宋_GB2312" w:eastAsia="仿宋_GB2312" w:cs="仿宋_GB2312"/>
          <w:color w:val="auto"/>
          <w:sz w:val="32"/>
          <w:szCs w:val="32"/>
          <w:lang w:eastAsia="zh-CN"/>
        </w:rPr>
        <w:t>、生产经营正常、信用</w:t>
      </w:r>
      <w:r>
        <w:rPr>
          <w:rFonts w:hint="eastAsia" w:ascii="仿宋_GB2312" w:hAnsi="仿宋_GB2312" w:eastAsia="仿宋_GB2312" w:cs="仿宋_GB2312"/>
          <w:color w:val="auto"/>
          <w:sz w:val="32"/>
          <w:szCs w:val="32"/>
          <w:lang w:eastAsia="en-US"/>
        </w:rPr>
        <w:t>良好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eastAsia="en-US"/>
        </w:rPr>
        <w:t>近两年未出现</w:t>
      </w:r>
      <w:r>
        <w:rPr>
          <w:rFonts w:hint="eastAsia" w:ascii="仿宋_GB2312" w:hAnsi="仿宋_GB2312" w:eastAsia="仿宋_GB2312" w:cs="仿宋_GB2312"/>
          <w:color w:val="auto"/>
          <w:sz w:val="32"/>
          <w:szCs w:val="32"/>
          <w:lang w:val="en-US" w:eastAsia="zh-CN"/>
        </w:rPr>
        <w:t>环保、安全等事故或其他</w:t>
      </w:r>
      <w:r>
        <w:rPr>
          <w:rFonts w:hint="eastAsia" w:ascii="仿宋_GB2312" w:hAnsi="仿宋_GB2312" w:eastAsia="仿宋_GB2312" w:cs="仿宋_GB2312"/>
          <w:color w:val="auto"/>
          <w:sz w:val="32"/>
          <w:szCs w:val="32"/>
          <w:lang w:eastAsia="en-US"/>
        </w:rPr>
        <w:t>违规违纪行为</w:t>
      </w:r>
      <w:r>
        <w:rPr>
          <w:rFonts w:hint="eastAsia" w:ascii="仿宋_GB2312" w:hAnsi="仿宋_GB2312" w:eastAsia="仿宋_GB2312" w:cs="仿宋_GB2312"/>
          <w:color w:val="auto"/>
          <w:sz w:val="32"/>
          <w:szCs w:val="32"/>
        </w:rPr>
        <w:t>。</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en-US"/>
        </w:rPr>
        <w:t>本</w:t>
      </w:r>
      <w:r>
        <w:rPr>
          <w:rFonts w:hint="eastAsia" w:ascii="仿宋_GB2312" w:hAnsi="仿宋_GB2312" w:eastAsia="仿宋_GB2312" w:cs="仿宋_GB2312"/>
          <w:color w:val="auto"/>
          <w:sz w:val="32"/>
          <w:szCs w:val="32"/>
          <w:lang w:val="en-US" w:eastAsia="zh-CN"/>
        </w:rPr>
        <w:t>方案</w:t>
      </w:r>
      <w:r>
        <w:rPr>
          <w:rFonts w:hint="eastAsia" w:ascii="仿宋_GB2312" w:hAnsi="仿宋_GB2312" w:eastAsia="仿宋_GB2312" w:cs="仿宋_GB2312"/>
          <w:color w:val="auto"/>
          <w:sz w:val="32"/>
          <w:szCs w:val="32"/>
          <w:lang w:eastAsia="en-US"/>
        </w:rPr>
        <w:t>从</w:t>
      </w: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eastAsia="en-US"/>
        </w:rPr>
        <w:t>起</w:t>
      </w:r>
      <w:r>
        <w:rPr>
          <w:rFonts w:hint="eastAsia" w:ascii="仿宋_GB2312" w:hAnsi="仿宋_GB2312" w:eastAsia="仿宋_GB2312" w:cs="仿宋_GB2312"/>
          <w:color w:val="auto"/>
          <w:sz w:val="32"/>
          <w:szCs w:val="32"/>
          <w:lang w:val="en-US" w:eastAsia="zh-CN"/>
        </w:rPr>
        <w:t>执行。本方案若与已出台的《铅山县科技创新奖励办法（试行）》（铅办发〔2022〕5号）政策相抵触的条款，以本方案为准。</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textAlignment w:val="auto"/>
        <w:rPr>
          <w:rFonts w:hint="eastAsia" w:ascii="仿宋_GB2312" w:hAnsi="仿宋_GB2312" w:eastAsia="仿宋_GB2312" w:cs="仿宋_GB2312"/>
          <w:color w:val="auto"/>
          <w:sz w:val="32"/>
          <w:szCs w:val="32"/>
          <w:lang w:val="en-US" w:eastAsia="zh-CN"/>
        </w:rPr>
      </w:pP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w:t>
      </w:r>
      <w:r>
        <w:rPr>
          <w:rFonts w:hint="eastAsia" w:ascii="仿宋_GB2312" w:hAnsi="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铅山县</w:t>
      </w:r>
      <w:r>
        <w:rPr>
          <w:rFonts w:hint="eastAsia" w:ascii="仿宋_GB2312" w:hAnsi="仿宋_GB2312" w:eastAsia="仿宋_GB2312" w:cs="仿宋_GB2312"/>
          <w:color w:val="auto"/>
          <w:sz w:val="32"/>
          <w:szCs w:val="32"/>
          <w:lang w:val="en-US" w:eastAsia="zh-CN"/>
        </w:rPr>
        <w:t>知识产权</w:t>
      </w:r>
      <w:r>
        <w:rPr>
          <w:rFonts w:hint="eastAsia" w:ascii="仿宋_GB2312" w:hAnsi="仿宋_GB2312" w:eastAsia="仿宋_GB2312" w:cs="仿宋_GB2312"/>
          <w:color w:val="auto"/>
          <w:sz w:val="32"/>
          <w:szCs w:val="32"/>
        </w:rPr>
        <w:t>奖</w:t>
      </w:r>
      <w:r>
        <w:rPr>
          <w:rFonts w:hint="eastAsia" w:ascii="仿宋_GB2312" w:hAnsi="仿宋_GB2312" w:eastAsia="仿宋_GB2312" w:cs="仿宋_GB2312"/>
          <w:color w:val="auto"/>
          <w:sz w:val="32"/>
          <w:szCs w:val="32"/>
          <w:lang w:eastAsia="zh-CN"/>
        </w:rPr>
        <w:t>补</w:t>
      </w:r>
      <w:r>
        <w:rPr>
          <w:rFonts w:hint="eastAsia" w:ascii="仿宋_GB2312" w:hAnsi="仿宋_GB2312" w:eastAsia="仿宋_GB2312" w:cs="仿宋_GB2312"/>
          <w:color w:val="auto"/>
          <w:sz w:val="32"/>
          <w:szCs w:val="32"/>
        </w:rPr>
        <w:t>申请表</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1600" w:firstLineChars="500"/>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2.</w:t>
      </w:r>
      <w:r>
        <w:rPr>
          <w:rFonts w:hint="eastAsia" w:ascii="仿宋_GB2312" w:hAnsi="仿宋_GB2312" w:eastAsia="仿宋_GB2312" w:cs="仿宋_GB2312"/>
          <w:color w:val="auto"/>
          <w:sz w:val="32"/>
          <w:szCs w:val="32"/>
        </w:rPr>
        <w:t>承诺书</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textAlignment w:val="auto"/>
        <w:rPr>
          <w:rFonts w:hint="default" w:ascii="仿宋_GB2312" w:hAnsi="仿宋_GB2312" w:cs="仿宋_GB2312"/>
          <w:color w:val="auto"/>
          <w:sz w:val="32"/>
          <w:szCs w:val="32"/>
          <w:lang w:val="en-US" w:eastAsia="zh-CN"/>
        </w:rPr>
        <w:sectPr>
          <w:footerReference r:id="rId5" w:type="default"/>
          <w:pgSz w:w="11910" w:h="16840"/>
          <w:pgMar w:top="2098" w:right="1474" w:bottom="1984" w:left="1587" w:header="0" w:footer="1063" w:gutter="0"/>
          <w:pgNumType w:fmt="decimal"/>
          <w:cols w:space="720" w:num="1"/>
        </w:sectPr>
      </w:pPr>
    </w:p>
    <w:p>
      <w:pPr>
        <w:keepNext w:val="0"/>
        <w:keepLines w:val="0"/>
        <w:pageBreakBefore w:val="0"/>
        <w:kinsoku/>
        <w:wordWrap/>
        <w:overflowPunct/>
        <w:topLinePunct w:val="0"/>
        <w:autoSpaceDE/>
        <w:autoSpaceDN/>
        <w:bidi w:val="0"/>
        <w:adjustRightInd/>
        <w:snapToGrid w:val="0"/>
        <w:spacing w:line="560" w:lineRule="exact"/>
        <w:textAlignment w:val="auto"/>
        <w:rPr>
          <w:rFonts w:hint="eastAsia" w:ascii="黑体" w:hAnsi="黑体" w:eastAsia="黑体"/>
          <w:b/>
          <w:bCs/>
          <w:color w:val="auto"/>
          <w:kern w:val="0"/>
          <w:sz w:val="32"/>
          <w:szCs w:val="32"/>
          <w:highlight w:val="none"/>
          <w:lang w:eastAsia="zh-CN"/>
        </w:rPr>
      </w:pPr>
      <w:r>
        <w:rPr>
          <w:rFonts w:ascii="黑体" w:hAnsi="黑体" w:eastAsia="黑体"/>
          <w:b/>
          <w:bCs/>
          <w:color w:val="auto"/>
          <w:kern w:val="0"/>
          <w:sz w:val="32"/>
          <w:szCs w:val="32"/>
          <w:highlight w:val="none"/>
        </w:rPr>
        <w:t>附件</w:t>
      </w:r>
      <w:r>
        <w:rPr>
          <w:rFonts w:hint="eastAsia" w:ascii="黑体" w:hAnsi="黑体" w:eastAsia="黑体"/>
          <w:b/>
          <w:bCs/>
          <w:color w:val="auto"/>
          <w:kern w:val="0"/>
          <w:sz w:val="32"/>
          <w:szCs w:val="32"/>
          <w:highlight w:val="none"/>
          <w:lang w:val="en-US" w:eastAsia="zh-CN"/>
        </w:rPr>
        <w:t>1</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pPr>
      <w:r>
        <w:rPr>
          <w:rFonts w:hint="eastAsia" w:ascii="方正小标宋简体" w:hAnsi="宋体" w:eastAsia="方正小标宋简体"/>
          <w:color w:val="auto"/>
          <w:sz w:val="40"/>
          <w:szCs w:val="40"/>
          <w:highlight w:val="none"/>
          <w:lang w:eastAsia="zh-CN"/>
        </w:rPr>
        <w:t>铅山县</w:t>
      </w:r>
      <w:r>
        <w:rPr>
          <w:rFonts w:hint="eastAsia" w:ascii="方正小标宋简体" w:hAnsi="宋体" w:eastAsia="方正小标宋简体"/>
          <w:color w:val="auto"/>
          <w:sz w:val="40"/>
          <w:szCs w:val="40"/>
          <w:highlight w:val="none"/>
          <w:lang w:val="en-US" w:eastAsia="zh-CN"/>
        </w:rPr>
        <w:t>知识产权</w:t>
      </w:r>
      <w:r>
        <w:rPr>
          <w:rFonts w:hint="eastAsia" w:ascii="方正小标宋简体" w:hAnsi="宋体" w:eastAsia="方正小标宋简体"/>
          <w:color w:val="auto"/>
          <w:sz w:val="40"/>
          <w:szCs w:val="40"/>
          <w:highlight w:val="none"/>
        </w:rPr>
        <w:t>奖</w:t>
      </w:r>
      <w:r>
        <w:rPr>
          <w:rFonts w:hint="eastAsia" w:ascii="方正小标宋简体" w:hAnsi="宋体" w:eastAsia="方正小标宋简体"/>
          <w:color w:val="auto"/>
          <w:sz w:val="40"/>
          <w:szCs w:val="40"/>
          <w:highlight w:val="none"/>
          <w:lang w:eastAsia="zh-CN"/>
        </w:rPr>
        <w:t>补</w:t>
      </w:r>
      <w:r>
        <w:rPr>
          <w:rFonts w:hint="eastAsia" w:ascii="方正小标宋简体" w:hAnsi="宋体" w:eastAsia="方正小标宋简体"/>
          <w:color w:val="auto"/>
          <w:sz w:val="40"/>
          <w:szCs w:val="40"/>
          <w:highlight w:val="none"/>
        </w:rPr>
        <w:t>申请表</w:t>
      </w:r>
    </w:p>
    <w:tbl>
      <w:tblPr>
        <w:tblStyle w:val="26"/>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2501"/>
        <w:gridCol w:w="2002"/>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b/>
                <w:bCs/>
                <w:color w:val="auto"/>
                <w:sz w:val="28"/>
                <w:szCs w:val="28"/>
                <w:highlight w:val="none"/>
              </w:rPr>
            </w:pPr>
            <w:r>
              <w:rPr>
                <w:rFonts w:eastAsia="仿宋_GB2312"/>
                <w:b/>
                <w:bCs/>
                <w:color w:val="auto"/>
                <w:sz w:val="28"/>
                <w:szCs w:val="28"/>
                <w:highlight w:val="none"/>
              </w:rPr>
              <w:t>申请单位名称</w:t>
            </w:r>
          </w:p>
        </w:tc>
        <w:tc>
          <w:tcPr>
            <w:tcW w:w="25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c>
          <w:tcPr>
            <w:tcW w:w="2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b/>
                <w:bCs/>
                <w:color w:val="auto"/>
                <w:sz w:val="28"/>
                <w:szCs w:val="28"/>
                <w:highlight w:val="none"/>
              </w:rPr>
            </w:pPr>
            <w:r>
              <w:rPr>
                <w:rFonts w:eastAsia="仿宋_GB2312"/>
                <w:b/>
                <w:bCs/>
                <w:color w:val="auto"/>
                <w:sz w:val="28"/>
                <w:szCs w:val="28"/>
                <w:highlight w:val="none"/>
              </w:rPr>
              <w:t>地   址</w:t>
            </w:r>
          </w:p>
        </w:tc>
        <w:tc>
          <w:tcPr>
            <w:tcW w:w="26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b/>
                <w:bCs/>
                <w:color w:val="auto"/>
                <w:sz w:val="28"/>
                <w:szCs w:val="28"/>
                <w:highlight w:val="none"/>
              </w:rPr>
            </w:pPr>
            <w:r>
              <w:rPr>
                <w:rFonts w:eastAsia="仿宋_GB2312"/>
                <w:b/>
                <w:bCs/>
                <w:color w:val="auto"/>
                <w:sz w:val="28"/>
                <w:szCs w:val="28"/>
                <w:highlight w:val="none"/>
              </w:rPr>
              <w:t>法定代表人</w:t>
            </w:r>
          </w:p>
        </w:tc>
        <w:tc>
          <w:tcPr>
            <w:tcW w:w="25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c>
          <w:tcPr>
            <w:tcW w:w="2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b/>
                <w:bCs/>
                <w:color w:val="auto"/>
                <w:sz w:val="28"/>
                <w:szCs w:val="28"/>
                <w:highlight w:val="none"/>
              </w:rPr>
            </w:pPr>
            <w:r>
              <w:rPr>
                <w:rFonts w:eastAsia="仿宋_GB2312"/>
                <w:b/>
                <w:bCs/>
                <w:color w:val="auto"/>
                <w:sz w:val="28"/>
                <w:szCs w:val="28"/>
                <w:highlight w:val="none"/>
              </w:rPr>
              <w:t>电话/传真</w:t>
            </w:r>
          </w:p>
        </w:tc>
        <w:tc>
          <w:tcPr>
            <w:tcW w:w="26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b/>
                <w:bCs/>
                <w:color w:val="auto"/>
                <w:sz w:val="28"/>
                <w:szCs w:val="28"/>
                <w:highlight w:val="none"/>
              </w:rPr>
            </w:pPr>
            <w:r>
              <w:rPr>
                <w:rFonts w:eastAsia="仿宋_GB2312"/>
                <w:b/>
                <w:bCs/>
                <w:color w:val="auto"/>
                <w:sz w:val="28"/>
                <w:szCs w:val="28"/>
                <w:highlight w:val="none"/>
              </w:rPr>
              <w:t>营业执照号码</w:t>
            </w:r>
          </w:p>
        </w:tc>
        <w:tc>
          <w:tcPr>
            <w:tcW w:w="25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c>
          <w:tcPr>
            <w:tcW w:w="2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b/>
                <w:bCs/>
                <w:color w:val="auto"/>
                <w:sz w:val="28"/>
                <w:szCs w:val="28"/>
                <w:highlight w:val="none"/>
              </w:rPr>
            </w:pPr>
            <w:r>
              <w:rPr>
                <w:rFonts w:eastAsia="仿宋_GB2312"/>
                <w:b/>
                <w:bCs/>
                <w:color w:val="auto"/>
                <w:sz w:val="28"/>
                <w:szCs w:val="28"/>
                <w:highlight w:val="none"/>
              </w:rPr>
              <w:t>税务关系</w:t>
            </w:r>
          </w:p>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b/>
                <w:bCs/>
                <w:color w:val="auto"/>
                <w:sz w:val="28"/>
                <w:szCs w:val="28"/>
                <w:highlight w:val="none"/>
              </w:rPr>
            </w:pPr>
            <w:r>
              <w:rPr>
                <w:rFonts w:eastAsia="仿宋_GB2312"/>
                <w:b/>
                <w:bCs/>
                <w:color w:val="auto"/>
                <w:sz w:val="28"/>
                <w:szCs w:val="28"/>
                <w:highlight w:val="none"/>
              </w:rPr>
              <w:t>所在地</w:t>
            </w:r>
          </w:p>
        </w:tc>
        <w:tc>
          <w:tcPr>
            <w:tcW w:w="26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eastAsia="仿宋_GB2312"/>
                <w:b/>
                <w:bCs/>
                <w:color w:val="auto"/>
                <w:sz w:val="28"/>
                <w:szCs w:val="28"/>
                <w:highlight w:val="none"/>
                <w:lang w:val="en-US"/>
              </w:rPr>
            </w:pPr>
            <w:r>
              <w:rPr>
                <w:rFonts w:hint="eastAsia" w:ascii="仿宋_GB2312" w:hAnsi="仿宋_GB2312" w:eastAsia="仿宋_GB2312" w:cs="仿宋_GB2312"/>
                <w:b/>
                <w:bCs/>
                <w:color w:val="auto"/>
                <w:sz w:val="28"/>
                <w:szCs w:val="28"/>
                <w:highlight w:val="none"/>
                <w:lang w:val="en-US" w:eastAsia="zh-CN"/>
              </w:rPr>
              <w:t>经办人</w:t>
            </w:r>
            <w:r>
              <w:rPr>
                <w:rFonts w:hint="eastAsia" w:ascii="仿宋_GB2312" w:hAnsi="仿宋_GB2312" w:cs="仿宋_GB2312"/>
                <w:b/>
                <w:bCs/>
                <w:color w:val="auto"/>
                <w:sz w:val="28"/>
                <w:szCs w:val="28"/>
                <w:highlight w:val="none"/>
                <w:lang w:val="en-US" w:eastAsia="zh-CN"/>
              </w:rPr>
              <w:t>姓名</w:t>
            </w:r>
          </w:p>
        </w:tc>
        <w:tc>
          <w:tcPr>
            <w:tcW w:w="25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c>
          <w:tcPr>
            <w:tcW w:w="2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b/>
                <w:bCs/>
                <w:color w:val="auto"/>
                <w:sz w:val="28"/>
                <w:szCs w:val="28"/>
                <w:highlight w:val="none"/>
              </w:rPr>
            </w:pPr>
            <w:r>
              <w:rPr>
                <w:rFonts w:hint="eastAsia" w:eastAsia="仿宋_GB2312"/>
                <w:b/>
                <w:bCs/>
                <w:color w:val="auto"/>
                <w:sz w:val="28"/>
                <w:szCs w:val="28"/>
                <w:highlight w:val="none"/>
              </w:rPr>
              <w:t>联系电话</w:t>
            </w:r>
          </w:p>
        </w:tc>
        <w:tc>
          <w:tcPr>
            <w:tcW w:w="26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ascii="仿宋_GB2312" w:hAnsi="仿宋_GB2312" w:eastAsia="仿宋_GB2312" w:cs="仿宋_GB2312"/>
                <w:b/>
                <w:bCs/>
                <w:color w:val="auto"/>
                <w:sz w:val="28"/>
                <w:szCs w:val="28"/>
                <w:highlight w:val="none"/>
                <w:lang w:val="en-US" w:eastAsia="zh-CN"/>
              </w:rPr>
            </w:pPr>
            <w:r>
              <w:rPr>
                <w:rFonts w:hint="eastAsia" w:ascii="仿宋_GB2312" w:hAnsi="仿宋_GB2312" w:cs="仿宋_GB2312"/>
                <w:b/>
                <w:bCs/>
                <w:color w:val="auto"/>
                <w:sz w:val="28"/>
                <w:szCs w:val="28"/>
                <w:highlight w:val="none"/>
                <w:lang w:val="en-US" w:eastAsia="zh-CN"/>
              </w:rPr>
              <w:t>身份证号</w:t>
            </w:r>
          </w:p>
        </w:tc>
        <w:tc>
          <w:tcPr>
            <w:tcW w:w="718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_GB2312" w:hAnsi="仿宋_GB2312" w:cs="仿宋_GB2312"/>
                <w:b/>
                <w:bCs/>
                <w:color w:val="auto"/>
                <w:sz w:val="28"/>
                <w:szCs w:val="28"/>
                <w:highlight w:val="none"/>
                <w:lang w:val="en-US" w:eastAsia="zh-CN"/>
              </w:rPr>
            </w:pPr>
            <w:r>
              <w:rPr>
                <w:rFonts w:hint="eastAsia" w:ascii="仿宋_GB2312" w:hAnsi="仿宋_GB2312" w:cs="仿宋_GB2312"/>
                <w:b/>
                <w:bCs/>
                <w:color w:val="auto"/>
                <w:sz w:val="28"/>
                <w:szCs w:val="28"/>
                <w:highlight w:val="none"/>
                <w:lang w:val="en-US" w:eastAsia="zh-CN"/>
              </w:rPr>
              <w:t>银行对公账户</w:t>
            </w:r>
          </w:p>
        </w:tc>
        <w:tc>
          <w:tcPr>
            <w:tcW w:w="718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_GB2312" w:hAnsi="仿宋_GB2312" w:cs="仿宋_GB2312"/>
                <w:b/>
                <w:bCs/>
                <w:color w:val="auto"/>
                <w:sz w:val="28"/>
                <w:szCs w:val="28"/>
                <w:highlight w:val="none"/>
                <w:lang w:val="en-US" w:eastAsia="zh-CN"/>
              </w:rPr>
            </w:pPr>
            <w:r>
              <w:rPr>
                <w:rFonts w:hint="eastAsia" w:eastAsia="仿宋_GB2312"/>
                <w:b/>
                <w:bCs/>
                <w:color w:val="auto"/>
                <w:sz w:val="28"/>
                <w:szCs w:val="28"/>
                <w:highlight w:val="none"/>
              </w:rPr>
              <w:t>账户名称</w:t>
            </w:r>
          </w:p>
        </w:tc>
        <w:tc>
          <w:tcPr>
            <w:tcW w:w="718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449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r>
              <w:rPr>
                <w:rFonts w:hint="eastAsia" w:ascii="仿宋_GB2312" w:hAnsi="仿宋_GB2312" w:cs="仿宋_GB2312"/>
                <w:b/>
                <w:bCs/>
                <w:color w:val="auto"/>
                <w:sz w:val="28"/>
                <w:szCs w:val="28"/>
                <w:highlight w:val="none"/>
                <w:lang w:val="en-US" w:eastAsia="zh-CN"/>
              </w:rPr>
              <w:t>收款银行（注明分支行）</w:t>
            </w:r>
          </w:p>
        </w:tc>
        <w:tc>
          <w:tcPr>
            <w:tcW w:w="46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eastAsia="仿宋_GB2312"/>
                <w:b/>
                <w:bCs/>
                <w:color w:val="auto"/>
                <w:sz w:val="28"/>
                <w:szCs w:val="28"/>
                <w:highlight w:val="none"/>
                <w:lang w:val="en-US" w:eastAsia="zh-CN"/>
              </w:rPr>
            </w:pPr>
            <w:r>
              <w:rPr>
                <w:rFonts w:hint="eastAsia" w:eastAsia="仿宋_GB2312"/>
                <w:b/>
                <w:bCs/>
                <w:color w:val="auto"/>
                <w:sz w:val="28"/>
                <w:szCs w:val="28"/>
                <w:highlight w:val="none"/>
                <w:lang w:val="en-US" w:eastAsia="zh-CN"/>
              </w:rPr>
              <w:t>申请项目类别</w:t>
            </w:r>
          </w:p>
        </w:tc>
        <w:tc>
          <w:tcPr>
            <w:tcW w:w="718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pStyle w:val="16"/>
              <w:keepNext w:val="0"/>
              <w:keepLines w:val="0"/>
              <w:pageBreakBefore w:val="0"/>
              <w:widowControl w:val="0"/>
              <w:kinsoku/>
              <w:wordWrap/>
              <w:overflowPunct/>
              <w:topLinePunct w:val="0"/>
              <w:autoSpaceDE/>
              <w:autoSpaceDN/>
              <w:bidi w:val="0"/>
              <w:adjustRightInd/>
              <w:snapToGrid w:val="0"/>
              <w:spacing w:line="440" w:lineRule="exact"/>
              <w:jc w:val="both"/>
              <w:textAlignment w:val="auto"/>
              <w:rPr>
                <w:rFonts w:hint="default" w:eastAsia="宋体"/>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项目情况简介</w:t>
            </w:r>
          </w:p>
        </w:tc>
        <w:tc>
          <w:tcPr>
            <w:tcW w:w="718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eastAsia="仿宋_GB2312"/>
                <w:b/>
                <w:bCs/>
                <w:color w:val="auto"/>
                <w:sz w:val="28"/>
                <w:szCs w:val="28"/>
                <w:highlight w:val="none"/>
                <w:lang w:val="en-US" w:eastAsia="zh-CN"/>
              </w:rPr>
            </w:pPr>
            <w:r>
              <w:rPr>
                <w:rFonts w:hint="eastAsia" w:eastAsia="仿宋_GB2312"/>
                <w:b/>
                <w:bCs/>
                <w:color w:val="auto"/>
                <w:sz w:val="28"/>
                <w:szCs w:val="28"/>
                <w:highlight w:val="none"/>
                <w:lang w:val="en-US" w:eastAsia="zh-CN"/>
              </w:rPr>
              <w:t>申请项目资金</w:t>
            </w:r>
          </w:p>
        </w:tc>
        <w:tc>
          <w:tcPr>
            <w:tcW w:w="718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b/>
                <w:bCs/>
                <w:color w:val="auto"/>
                <w:sz w:val="28"/>
                <w:szCs w:val="28"/>
                <w:highlight w:val="none"/>
              </w:rPr>
            </w:pPr>
            <w:r>
              <w:rPr>
                <w:rFonts w:eastAsia="仿宋_GB2312"/>
                <w:b/>
                <w:bCs/>
                <w:color w:val="auto"/>
                <w:sz w:val="28"/>
                <w:szCs w:val="28"/>
                <w:highlight w:val="none"/>
              </w:rPr>
              <w:t>申请单位意见</w:t>
            </w:r>
          </w:p>
        </w:tc>
        <w:tc>
          <w:tcPr>
            <w:tcW w:w="7187" w:type="dxa"/>
            <w:gridSpan w:val="3"/>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sz w:val="28"/>
                <w:szCs w:val="36"/>
                <w:highlight w:val="none"/>
              </w:rPr>
            </w:pPr>
          </w:p>
          <w:p>
            <w:pPr>
              <w:keepNext w:val="0"/>
              <w:keepLines w:val="0"/>
              <w:pageBreakBefore w:val="0"/>
              <w:widowControl w:val="0"/>
              <w:kinsoku/>
              <w:wordWrap/>
              <w:overflowPunct/>
              <w:topLinePunct w:val="0"/>
              <w:autoSpaceDE/>
              <w:autoSpaceDN/>
              <w:bidi w:val="0"/>
              <w:adjustRightInd/>
              <w:snapToGrid w:val="0"/>
              <w:spacing w:line="440" w:lineRule="exact"/>
              <w:ind w:firstLine="2240" w:firstLineChars="800"/>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lang w:val="en-US" w:eastAsia="zh-CN"/>
              </w:rPr>
              <w:t xml:space="preserve">      </w:t>
            </w:r>
            <w:r>
              <w:rPr>
                <w:rFonts w:hint="eastAsia" w:ascii="仿宋_GB2312" w:hAnsi="仿宋_GB2312" w:eastAsia="仿宋_GB2312" w:cs="仿宋_GB2312"/>
                <w:color w:val="auto"/>
                <w:sz w:val="28"/>
                <w:szCs w:val="36"/>
                <w:highlight w:val="none"/>
              </w:rPr>
              <w:t>法定代表人签字（盖章）</w:t>
            </w:r>
          </w:p>
          <w:p>
            <w:pPr>
              <w:pStyle w:val="16"/>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color w:val="auto"/>
                <w:highlight w:val="none"/>
              </w:rPr>
            </w:pPr>
            <w:r>
              <w:rPr>
                <w:rFonts w:hint="eastAsia" w:ascii="仿宋_GB2312" w:hAnsi="仿宋_GB2312" w:eastAsia="仿宋_GB2312" w:cs="仿宋_GB2312"/>
                <w:color w:val="auto"/>
                <w:sz w:val="28"/>
                <w:szCs w:val="36"/>
                <w:highlight w:val="none"/>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eastAsia="仿宋_GB2312"/>
                <w:b/>
                <w:bCs/>
                <w:color w:val="auto"/>
                <w:sz w:val="28"/>
                <w:szCs w:val="28"/>
                <w:highlight w:val="none"/>
                <w:lang w:val="en-US" w:eastAsia="zh-CN"/>
              </w:rPr>
            </w:pPr>
            <w:r>
              <w:rPr>
                <w:rFonts w:hint="eastAsia" w:eastAsia="仿宋_GB2312"/>
                <w:b/>
                <w:bCs/>
                <w:color w:val="auto"/>
                <w:sz w:val="28"/>
                <w:szCs w:val="28"/>
                <w:highlight w:val="none"/>
                <w:lang w:val="en-US" w:eastAsia="zh-CN"/>
              </w:rPr>
              <w:t>相关部门</w:t>
            </w:r>
          </w:p>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default" w:eastAsia="仿宋_GB2312"/>
                <w:b/>
                <w:bCs/>
                <w:color w:val="auto"/>
                <w:sz w:val="28"/>
                <w:szCs w:val="28"/>
                <w:highlight w:val="none"/>
                <w:lang w:val="en-US" w:eastAsia="zh-CN"/>
              </w:rPr>
            </w:pPr>
            <w:r>
              <w:rPr>
                <w:rFonts w:hint="eastAsia" w:eastAsia="仿宋_GB2312"/>
                <w:b/>
                <w:bCs/>
                <w:color w:val="auto"/>
                <w:sz w:val="28"/>
                <w:szCs w:val="28"/>
                <w:highlight w:val="none"/>
                <w:lang w:val="en-US" w:eastAsia="zh-CN"/>
              </w:rPr>
              <w:t>审核意见</w:t>
            </w:r>
          </w:p>
        </w:tc>
        <w:tc>
          <w:tcPr>
            <w:tcW w:w="7187" w:type="dxa"/>
            <w:gridSpan w:val="3"/>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 xml:space="preserve">             审核人</w:t>
            </w:r>
          </w:p>
          <w:p>
            <w:pPr>
              <w:pStyle w:val="16"/>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hint="default" w:ascii="仿宋_GB2312" w:hAnsi="仿宋_GB2312" w:eastAsia="仿宋_GB2312" w:cs="仿宋_GB2312"/>
                <w:color w:val="auto"/>
                <w:sz w:val="28"/>
                <w:szCs w:val="36"/>
                <w:highlight w:val="none"/>
                <w:lang w:val="en-US" w:eastAsia="zh-CN"/>
              </w:rPr>
            </w:pPr>
            <w:r>
              <w:rPr>
                <w:rFonts w:hint="eastAsia" w:ascii="仿宋_GB2312" w:hAnsi="仿宋_GB2312" w:eastAsia="仿宋_GB2312" w:cs="仿宋_GB2312"/>
                <w:color w:val="auto"/>
                <w:sz w:val="28"/>
                <w:szCs w:val="36"/>
                <w:highlight w:val="none"/>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9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eastAsia="仿宋_GB2312"/>
                <w:b/>
                <w:bCs/>
                <w:color w:val="auto"/>
                <w:sz w:val="28"/>
                <w:szCs w:val="28"/>
                <w:highlight w:val="none"/>
                <w:lang w:val="en-US" w:eastAsia="zh-CN"/>
              </w:rPr>
            </w:pPr>
            <w:r>
              <w:rPr>
                <w:rFonts w:hint="eastAsia" w:eastAsia="仿宋_GB2312"/>
                <w:b/>
                <w:bCs/>
                <w:color w:val="auto"/>
                <w:sz w:val="28"/>
                <w:szCs w:val="28"/>
                <w:highlight w:val="none"/>
                <w:lang w:val="en-US" w:eastAsia="zh-CN"/>
              </w:rPr>
              <w:t>备    注</w:t>
            </w:r>
          </w:p>
        </w:tc>
        <w:tc>
          <w:tcPr>
            <w:tcW w:w="7187" w:type="dxa"/>
            <w:gridSpan w:val="3"/>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eastAsia="仿宋_GB2312"/>
                <w:color w:val="auto"/>
                <w:sz w:val="28"/>
                <w:szCs w:val="28"/>
                <w:highlight w:val="none"/>
              </w:rPr>
            </w:pPr>
          </w:p>
        </w:tc>
      </w:tr>
    </w:tbl>
    <w:p>
      <w:pPr>
        <w:keepNext w:val="0"/>
        <w:keepLines w:val="0"/>
        <w:pageBreakBefore w:val="0"/>
        <w:kinsoku/>
        <w:wordWrap/>
        <w:overflowPunct/>
        <w:topLinePunct w:val="0"/>
        <w:autoSpaceDE/>
        <w:autoSpaceDN/>
        <w:bidi w:val="0"/>
        <w:adjustRightInd/>
        <w:spacing w:line="560" w:lineRule="exact"/>
        <w:textAlignment w:val="auto"/>
        <w:rPr>
          <w:rFonts w:ascii="黑体" w:hAnsi="黑体" w:eastAsia="黑体"/>
          <w:color w:val="auto"/>
          <w:kern w:val="0"/>
          <w:sz w:val="32"/>
          <w:szCs w:val="32"/>
          <w:highlight w:val="none"/>
        </w:rPr>
        <w:sectPr>
          <w:footerReference r:id="rId6" w:type="default"/>
          <w:pgSz w:w="11906" w:h="16838"/>
          <w:pgMar w:top="2098" w:right="1474" w:bottom="1984" w:left="1587"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spacing w:line="560" w:lineRule="exact"/>
        <w:textAlignment w:val="auto"/>
        <w:rPr>
          <w:rFonts w:ascii="黑体" w:hAnsi="黑体" w:eastAsia="黑体"/>
          <w:b/>
          <w:bCs/>
          <w:color w:val="auto"/>
          <w:kern w:val="0"/>
          <w:sz w:val="32"/>
          <w:szCs w:val="32"/>
          <w:highlight w:val="none"/>
        </w:rPr>
      </w:pPr>
      <w:r>
        <w:rPr>
          <w:rFonts w:ascii="黑体" w:hAnsi="黑体" w:eastAsia="黑体"/>
          <w:b/>
          <w:bCs/>
          <w:color w:val="auto"/>
          <w:kern w:val="0"/>
          <w:sz w:val="32"/>
          <w:szCs w:val="32"/>
          <w:highlight w:val="none"/>
        </w:rPr>
        <w:t>附件</w:t>
      </w:r>
      <w:r>
        <w:rPr>
          <w:rFonts w:hint="eastAsia" w:ascii="黑体" w:hAnsi="黑体" w:eastAsia="黑体"/>
          <w:b/>
          <w:bCs/>
          <w:color w:val="auto"/>
          <w:kern w:val="0"/>
          <w:sz w:val="32"/>
          <w:szCs w:val="32"/>
          <w:highlight w:val="none"/>
          <w:lang w:val="en-US" w:eastAsia="zh-CN"/>
        </w:rPr>
        <w:t>2</w:t>
      </w:r>
    </w:p>
    <w:p>
      <w:pPr>
        <w:keepNext w:val="0"/>
        <w:keepLines w:val="0"/>
        <w:pageBreakBefore w:val="0"/>
        <w:kinsoku/>
        <w:wordWrap/>
        <w:overflowPunct/>
        <w:topLinePunct w:val="0"/>
        <w:autoSpaceDE/>
        <w:autoSpaceDN/>
        <w:bidi w:val="0"/>
        <w:adjustRightInd/>
        <w:snapToGrid w:val="0"/>
        <w:spacing w:line="560" w:lineRule="exact"/>
        <w:textAlignment w:val="auto"/>
        <w:rPr>
          <w:rFonts w:eastAsia="仿宋"/>
          <w:color w:val="auto"/>
          <w:kern w:val="0"/>
          <w:sz w:val="32"/>
          <w:szCs w:val="32"/>
          <w:highlight w:val="none"/>
        </w:rPr>
      </w:pPr>
    </w:p>
    <w:p>
      <w:pPr>
        <w:keepNext w:val="0"/>
        <w:keepLines w:val="0"/>
        <w:pageBreakBefore w:val="0"/>
        <w:kinsoku/>
        <w:wordWrap/>
        <w:overflowPunct/>
        <w:topLinePunct w:val="0"/>
        <w:autoSpaceDE/>
        <w:autoSpaceDN/>
        <w:bidi w:val="0"/>
        <w:adjustRightInd/>
        <w:snapToGrid w:val="0"/>
        <w:spacing w:line="560" w:lineRule="exact"/>
        <w:jc w:val="center"/>
        <w:textAlignment w:val="auto"/>
        <w:rPr>
          <w:rFonts w:ascii="方正小标宋简体" w:eastAsia="方正小标宋简体"/>
          <w:color w:val="auto"/>
          <w:kern w:val="0"/>
          <w:sz w:val="44"/>
          <w:szCs w:val="44"/>
          <w:highlight w:val="none"/>
        </w:rPr>
      </w:pPr>
      <w:r>
        <w:rPr>
          <w:rFonts w:hint="eastAsia" w:ascii="方正小标宋简体" w:hAnsi="宋体" w:eastAsia="方正小标宋简体"/>
          <w:bCs/>
          <w:color w:val="auto"/>
          <w:kern w:val="0"/>
          <w:sz w:val="44"/>
          <w:szCs w:val="44"/>
          <w:highlight w:val="none"/>
        </w:rPr>
        <w:t>承 诺 书</w:t>
      </w:r>
    </w:p>
    <w:p>
      <w:pPr>
        <w:keepNext w:val="0"/>
        <w:keepLines w:val="0"/>
        <w:pageBreakBefore w:val="0"/>
        <w:kinsoku/>
        <w:wordWrap/>
        <w:overflowPunct/>
        <w:topLinePunct w:val="0"/>
        <w:autoSpaceDE/>
        <w:autoSpaceDN/>
        <w:bidi w:val="0"/>
        <w:adjustRightInd/>
        <w:snapToGrid w:val="0"/>
        <w:spacing w:line="560" w:lineRule="exact"/>
        <w:textAlignment w:val="auto"/>
        <w:rPr>
          <w:rFonts w:eastAsia="仿宋"/>
          <w:color w:val="auto"/>
          <w:kern w:val="0"/>
          <w:sz w:val="32"/>
          <w:szCs w:val="32"/>
          <w:highlight w:val="none"/>
        </w:rPr>
      </w:pPr>
    </w:p>
    <w:p>
      <w:pPr>
        <w:keepNext w:val="0"/>
        <w:keepLines w:val="0"/>
        <w:pageBreakBefore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郑重承诺：</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一、本单位申报奖励</w:t>
      </w:r>
      <w:r>
        <w:rPr>
          <w:rFonts w:hint="eastAsia" w:ascii="仿宋_GB2312" w:hAnsi="仿宋_GB2312" w:eastAsia="仿宋_GB2312" w:cs="仿宋_GB2312"/>
          <w:color w:val="auto"/>
          <w:kern w:val="0"/>
          <w:sz w:val="32"/>
          <w:szCs w:val="32"/>
          <w:highlight w:val="none"/>
          <w:lang w:eastAsia="zh-CN"/>
        </w:rPr>
        <w:t>补助</w:t>
      </w:r>
      <w:r>
        <w:rPr>
          <w:rFonts w:hint="eastAsia" w:ascii="仿宋_GB2312" w:hAnsi="仿宋_GB2312" w:eastAsia="仿宋_GB2312" w:cs="仿宋_GB2312"/>
          <w:color w:val="auto"/>
          <w:kern w:val="0"/>
          <w:sz w:val="32"/>
          <w:szCs w:val="32"/>
          <w:highlight w:val="none"/>
        </w:rPr>
        <w:t>所提供的所有相关材料，均准确、真实、合法、有效、无涉密信息，本单位愿为此承担有关法律责任，本单位若存在弄虚作假的行为，按照相关规定处理。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二、本单位如3年内迁离注册地址、改变在</w:t>
      </w:r>
      <w:r>
        <w:rPr>
          <w:rFonts w:hint="eastAsia" w:ascii="仿宋_GB2312" w:hAnsi="仿宋_GB2312" w:eastAsia="仿宋_GB2312" w:cs="仿宋_GB2312"/>
          <w:color w:val="auto"/>
          <w:kern w:val="0"/>
          <w:sz w:val="32"/>
          <w:szCs w:val="32"/>
          <w:highlight w:val="none"/>
          <w:lang w:val="en-US" w:eastAsia="zh-CN"/>
        </w:rPr>
        <w:t>铅山县</w:t>
      </w:r>
      <w:r>
        <w:rPr>
          <w:rFonts w:hint="eastAsia" w:ascii="仿宋_GB2312" w:hAnsi="仿宋_GB2312" w:eastAsia="仿宋_GB2312" w:cs="仿宋_GB2312"/>
          <w:color w:val="auto"/>
          <w:kern w:val="0"/>
          <w:sz w:val="32"/>
          <w:szCs w:val="32"/>
          <w:highlight w:val="none"/>
        </w:rPr>
        <w:t>的纳税义务、变更统计关系，将退还相应的奖励、补助资金。</w:t>
      </w:r>
    </w:p>
    <w:p>
      <w:pPr>
        <w:keepNext w:val="0"/>
        <w:keepLines w:val="0"/>
        <w:pageBreakBefore w:val="0"/>
        <w:kinsoku/>
        <w:wordWrap/>
        <w:overflowPunct/>
        <w:topLinePunct w:val="0"/>
        <w:autoSpaceDE/>
        <w:autoSpaceDN/>
        <w:bidi w:val="0"/>
        <w:adjustRightInd/>
        <w:snapToGrid w:val="0"/>
        <w:spacing w:line="560" w:lineRule="exact"/>
        <w:ind w:firstLine="64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三、本单位申请认定前一年内（即申请前的365天之内，含申报年）未发生重大安全事故、重大质量事故、环境污染事故、偷税漏税、违反劳动法发生欠薪、非法集资等违法行为。</w:t>
      </w:r>
    </w:p>
    <w:p>
      <w:pPr>
        <w:keepNext w:val="0"/>
        <w:keepLines w:val="0"/>
        <w:pageBreakBefore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kern w:val="0"/>
          <w:sz w:val="32"/>
          <w:szCs w:val="32"/>
          <w:highlight w:val="none"/>
        </w:rPr>
      </w:pPr>
    </w:p>
    <w:p>
      <w:pPr>
        <w:pStyle w:val="16"/>
        <w:rPr>
          <w:rFonts w:hint="eastAsia"/>
        </w:rPr>
      </w:pPr>
    </w:p>
    <w:p>
      <w:pPr>
        <w:keepNext w:val="0"/>
        <w:keepLines w:val="0"/>
        <w:pageBreakBefore w:val="0"/>
        <w:kinsoku/>
        <w:wordWrap/>
        <w:overflowPunct/>
        <w:topLinePunct w:val="0"/>
        <w:autoSpaceDE/>
        <w:autoSpaceDN/>
        <w:bidi w:val="0"/>
        <w:adjustRightInd/>
        <w:snapToGrid w:val="0"/>
        <w:spacing w:line="560" w:lineRule="exact"/>
        <w:ind w:firstLine="2720" w:firstLineChars="850"/>
        <w:textAlignment w:val="auto"/>
        <w:rPr>
          <w:rFonts w:hint="eastAsia"/>
        </w:rPr>
      </w:pP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rPr>
        <w:t>法定代表人签名：</w:t>
      </w:r>
    </w:p>
    <w:p>
      <w:pPr>
        <w:keepNext w:val="0"/>
        <w:keepLines w:val="0"/>
        <w:pageBreakBefore w:val="0"/>
        <w:kinsoku/>
        <w:wordWrap/>
        <w:overflowPunct/>
        <w:topLinePunct w:val="0"/>
        <w:autoSpaceDE/>
        <w:autoSpaceDN/>
        <w:bidi w:val="0"/>
        <w:adjustRightInd/>
        <w:snapToGrid w:val="0"/>
        <w:spacing w:line="560" w:lineRule="exact"/>
        <w:ind w:firstLine="2720" w:firstLineChars="85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rPr>
        <w:t>企业公章：</w:t>
      </w:r>
    </w:p>
    <w:p>
      <w:pPr>
        <w:pStyle w:val="16"/>
        <w:keepNext w:val="0"/>
        <w:keepLines w:val="0"/>
        <w:pageBreakBefore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sz w:val="32"/>
          <w:szCs w:val="32"/>
        </w:rPr>
      </w:pPr>
    </w:p>
    <w:p>
      <w:pPr>
        <w:keepNext w:val="0"/>
        <w:keepLines w:val="0"/>
        <w:pageBreakBefore w:val="0"/>
        <w:kinsoku/>
        <w:wordWrap/>
        <w:overflowPunct/>
        <w:topLinePunct w:val="0"/>
        <w:autoSpaceDE/>
        <w:autoSpaceDN/>
        <w:bidi w:val="0"/>
        <w:adjustRightInd/>
        <w:snapToGrid w:val="0"/>
        <w:spacing w:line="560" w:lineRule="exact"/>
        <w:ind w:firstLine="5920" w:firstLineChars="185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年  月  日</w:t>
      </w:r>
    </w:p>
    <w:p>
      <w:pPr>
        <w:pStyle w:val="16"/>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sz w:val="28"/>
          <w:szCs w:val="28"/>
          <w:u w:val="thick"/>
          <w:lang w:val="en-US" w:eastAsia="zh-CN"/>
        </w:rPr>
      </w:pPr>
      <w:r>
        <w:rPr>
          <w:rFonts w:hint="eastAsia" w:ascii="仿宋_GB2312" w:hAnsi="仿宋_GB2312" w:eastAsia="仿宋_GB2312"/>
          <w:sz w:val="28"/>
          <w:szCs w:val="28"/>
          <w:u w:val="thick"/>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sz w:val="28"/>
          <w:szCs w:val="28"/>
          <w:u w:val="thick" w:color="auto"/>
          <w:lang w:val="en-US" w:eastAsia="zh-CN"/>
        </w:rPr>
        <w:t xml:space="preserve">  </w:t>
      </w:r>
      <w:r>
        <w:rPr>
          <w:rFonts w:hint="eastAsia" w:ascii="仿宋_GB2312" w:hAnsi="仿宋_GB2312" w:eastAsia="仿宋_GB2312"/>
          <w:sz w:val="28"/>
          <w:szCs w:val="28"/>
          <w:u w:val="thick" w:color="auto"/>
        </w:rPr>
        <w:t>铅山县人民政府办公室秘书</w:t>
      </w:r>
      <w:r>
        <w:rPr>
          <w:rFonts w:hint="eastAsia" w:ascii="仿宋_GB2312" w:hAnsi="仿宋_GB2312" w:eastAsia="仿宋_GB2312"/>
          <w:sz w:val="28"/>
          <w:szCs w:val="28"/>
          <w:u w:val="thick" w:color="auto"/>
          <w:lang w:eastAsia="zh-CN"/>
        </w:rPr>
        <w:t>股</w:t>
      </w:r>
      <w:r>
        <w:rPr>
          <w:rFonts w:hint="eastAsia" w:ascii="仿宋_GB2312" w:hAnsi="仿宋_GB2312" w:eastAsia="仿宋_GB2312"/>
          <w:sz w:val="28"/>
          <w:szCs w:val="28"/>
          <w:u w:val="thick" w:color="auto"/>
        </w:rPr>
        <w:t xml:space="preserve">  </w:t>
      </w:r>
      <w:r>
        <w:rPr>
          <w:rFonts w:hint="eastAsia" w:ascii="仿宋_GB2312" w:hAnsi="仿宋_GB2312" w:eastAsia="仿宋_GB2312"/>
          <w:sz w:val="28"/>
          <w:szCs w:val="28"/>
          <w:u w:val="thick" w:color="auto"/>
          <w:lang w:val="en-US" w:eastAsia="zh-CN"/>
        </w:rPr>
        <w:t xml:space="preserve">   </w:t>
      </w:r>
      <w:r>
        <w:rPr>
          <w:rFonts w:hint="eastAsia" w:ascii="仿宋_GB2312" w:hAnsi="仿宋_GB2312" w:eastAsia="仿宋_GB2312"/>
          <w:sz w:val="28"/>
          <w:szCs w:val="28"/>
          <w:u w:val="thick" w:color="auto"/>
        </w:rPr>
        <w:t xml:space="preserve">  </w:t>
      </w:r>
      <w:r>
        <w:rPr>
          <w:rFonts w:hint="eastAsia" w:ascii="仿宋_GB2312" w:hAnsi="仿宋_GB2312" w:eastAsia="仿宋_GB2312"/>
          <w:sz w:val="28"/>
          <w:szCs w:val="28"/>
          <w:u w:val="thick" w:color="auto"/>
          <w:lang w:eastAsia="zh-CN"/>
        </w:rPr>
        <w:t>　　　</w:t>
      </w:r>
      <w:r>
        <w:rPr>
          <w:rFonts w:hint="eastAsia" w:ascii="仿宋_GB2312" w:hAnsi="仿宋_GB2312" w:eastAsia="仿宋_GB2312"/>
          <w:sz w:val="28"/>
          <w:szCs w:val="28"/>
          <w:u w:val="thick" w:color="auto"/>
        </w:rPr>
        <w:t xml:space="preserve"> 20</w:t>
      </w:r>
      <w:r>
        <w:rPr>
          <w:rFonts w:hint="eastAsia" w:ascii="仿宋_GB2312" w:hAnsi="仿宋_GB2312" w:eastAsia="仿宋_GB2312"/>
          <w:sz w:val="28"/>
          <w:szCs w:val="28"/>
          <w:u w:val="thick" w:color="auto"/>
          <w:lang w:val="en-US" w:eastAsia="zh-CN"/>
        </w:rPr>
        <w:t>23</w:t>
      </w:r>
      <w:r>
        <w:rPr>
          <w:rFonts w:hint="eastAsia" w:ascii="仿宋_GB2312" w:hAnsi="仿宋_GB2312" w:eastAsia="仿宋_GB2312"/>
          <w:sz w:val="28"/>
          <w:szCs w:val="28"/>
          <w:u w:val="thick" w:color="auto"/>
        </w:rPr>
        <w:t>年</w:t>
      </w:r>
      <w:r>
        <w:rPr>
          <w:rFonts w:hint="eastAsia" w:ascii="仿宋_GB2312" w:hAnsi="仿宋_GB2312" w:eastAsia="仿宋_GB2312"/>
          <w:sz w:val="28"/>
          <w:szCs w:val="28"/>
          <w:u w:val="thick" w:color="auto"/>
          <w:lang w:val="en-US" w:eastAsia="zh-CN"/>
        </w:rPr>
        <w:t>8</w:t>
      </w:r>
      <w:r>
        <w:rPr>
          <w:rFonts w:hint="eastAsia" w:ascii="仿宋_GB2312" w:hAnsi="仿宋_GB2312" w:eastAsia="仿宋_GB2312"/>
          <w:sz w:val="28"/>
          <w:szCs w:val="28"/>
          <w:u w:val="thick" w:color="auto"/>
        </w:rPr>
        <w:t>月</w:t>
      </w:r>
      <w:r>
        <w:rPr>
          <w:rFonts w:hint="eastAsia" w:ascii="仿宋_GB2312" w:hAnsi="仿宋_GB2312" w:eastAsia="仿宋_GB2312"/>
          <w:sz w:val="28"/>
          <w:szCs w:val="28"/>
          <w:u w:val="thick" w:color="auto"/>
          <w:lang w:val="en-US" w:eastAsia="zh-CN"/>
        </w:rPr>
        <w:t>2</w:t>
      </w:r>
      <w:r>
        <w:rPr>
          <w:rFonts w:hint="eastAsia" w:ascii="仿宋_GB2312" w:hAnsi="仿宋_GB2312" w:eastAsia="仿宋_GB2312"/>
          <w:sz w:val="28"/>
          <w:szCs w:val="28"/>
          <w:u w:val="thick" w:color="auto"/>
        </w:rPr>
        <w:t>日</w:t>
      </w:r>
      <w:r>
        <w:rPr>
          <w:rFonts w:hint="eastAsia" w:ascii="仿宋_GB2312" w:hAnsi="仿宋_GB2312" w:eastAsia="仿宋_GB2312"/>
          <w:sz w:val="28"/>
          <w:szCs w:val="28"/>
          <w:u w:val="thick" w:color="auto"/>
          <w:lang w:eastAsia="zh-CN"/>
        </w:rPr>
        <w:t>印</w:t>
      </w:r>
      <w:r>
        <w:rPr>
          <w:rFonts w:hint="eastAsia" w:ascii="仿宋_GB2312" w:hAnsi="仿宋_GB2312" w:eastAsia="仿宋_GB2312"/>
          <w:sz w:val="28"/>
          <w:szCs w:val="28"/>
          <w:u w:val="thick" w:color="auto"/>
        </w:rPr>
        <w:t>发</w:t>
      </w:r>
      <w:r>
        <w:rPr>
          <w:rFonts w:hint="eastAsia" w:ascii="仿宋_GB2312" w:hAnsi="仿宋_GB2312" w:eastAsia="仿宋_GB2312"/>
          <w:sz w:val="28"/>
          <w:szCs w:val="28"/>
          <w:u w:val="thick" w:color="auto"/>
          <w:lang w:eastAsia="zh-CN"/>
        </w:rPr>
        <w:t>　　　　　　　　　</w:t>
      </w:r>
      <w:r>
        <w:rPr>
          <w:rFonts w:hint="eastAsia" w:ascii="仿宋_GB2312" w:hAnsi="仿宋_GB2312" w:eastAsia="仿宋_GB2312"/>
          <w:sz w:val="28"/>
          <w:szCs w:val="28"/>
          <w:u w:val="thick" w:color="auto"/>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sz w:val="44"/>
          <w:szCs w:val="44"/>
          <w:u w:val="none" w:color="auto"/>
          <w:lang w:eastAsia="zh-CN"/>
        </w:rPr>
      </w:pPr>
      <w:r>
        <w:rPr>
          <w:rFonts w:hint="eastAsia" w:ascii="方正小标宋简体" w:hAnsi="方正小标宋简体" w:eastAsia="方正小标宋简体" w:cs="方正小标宋简体"/>
          <w:sz w:val="44"/>
          <w:szCs w:val="44"/>
          <w:u w:val="none" w:color="auto"/>
          <w:lang w:val="en-US" w:eastAsia="zh-CN"/>
        </w:rPr>
        <w:t>铅山县</w:t>
      </w:r>
      <w:r>
        <w:rPr>
          <w:rFonts w:hint="eastAsia" w:ascii="方正小标宋简体" w:hAnsi="方正小标宋简体" w:eastAsia="方正小标宋简体" w:cs="方正小标宋简体"/>
          <w:sz w:val="44"/>
          <w:szCs w:val="44"/>
          <w:u w:val="none" w:color="auto"/>
          <w:lang w:eastAsia="zh-CN"/>
        </w:rPr>
        <w:t>推进养老服务提质升级三年行动</w:t>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sz w:val="44"/>
          <w:szCs w:val="44"/>
          <w:u w:val="none" w:color="auto"/>
          <w:lang w:eastAsia="zh-CN"/>
        </w:rPr>
      </w:pPr>
      <w:r>
        <w:rPr>
          <w:rFonts w:hint="eastAsia" w:ascii="方正小标宋简体" w:hAnsi="方正小标宋简体" w:eastAsia="方正小标宋简体" w:cs="方正小标宋简体"/>
          <w:sz w:val="44"/>
          <w:szCs w:val="44"/>
          <w:u w:val="none" w:color="auto"/>
          <w:lang w:eastAsia="zh-CN"/>
        </w:rPr>
        <w:t>实施方案（</w:t>
      </w:r>
      <w:r>
        <w:rPr>
          <w:rFonts w:hint="eastAsia" w:ascii="方正小标宋简体" w:hAnsi="方正小标宋简体" w:eastAsia="方正小标宋简体" w:cs="方正小标宋简体"/>
          <w:sz w:val="44"/>
          <w:szCs w:val="44"/>
          <w:u w:val="none" w:color="auto"/>
          <w:lang w:val="en-US" w:eastAsia="zh-CN"/>
        </w:rPr>
        <w:t>2023-2025年</w:t>
      </w:r>
      <w:r>
        <w:rPr>
          <w:rFonts w:hint="eastAsia" w:ascii="方正小标宋简体" w:hAnsi="方正小标宋简体" w:eastAsia="方正小标宋简体" w:cs="方正小标宋简体"/>
          <w:sz w:val="44"/>
          <w:szCs w:val="44"/>
          <w:u w:val="none" w:color="auto"/>
          <w:lang w:eastAsia="zh-CN"/>
        </w:rPr>
        <w:t>）</w:t>
      </w:r>
    </w:p>
    <w:p>
      <w:pPr>
        <w:keepNext w:val="0"/>
        <w:keepLines w:val="0"/>
        <w:pageBreakBefore w:val="0"/>
        <w:widowControl w:val="0"/>
        <w:kinsoku/>
        <w:wordWrap/>
        <w:overflowPunct/>
        <w:topLinePunct w:val="0"/>
        <w:autoSpaceDE/>
        <w:autoSpaceDN/>
        <w:bidi w:val="0"/>
        <w:adjustRightInd/>
        <w:snapToGrid/>
        <w:spacing w:before="0" w:beforeAutospacing="0" w:afterAutospacing="0" w:line="560" w:lineRule="exact"/>
        <w:ind w:left="0" w:leftChars="0"/>
        <w:jc w:val="both"/>
        <w:textAlignment w:val="baseline"/>
        <w:rPr>
          <w:rFonts w:hint="eastAsia" w:ascii="仿宋_GB2312" w:hAnsi="仿宋_GB2312" w:eastAsia="仿宋_GB2312" w:cs="仿宋_GB2312"/>
          <w:b w:val="0"/>
          <w:i w:val="0"/>
          <w:caps w:val="0"/>
          <w:spacing w:val="0"/>
          <w:w w:val="1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u w:val="none" w:color="auto"/>
          <w:lang w:eastAsia="zh-CN"/>
        </w:rPr>
      </w:pPr>
      <w:r>
        <w:rPr>
          <w:rFonts w:hint="eastAsia" w:ascii="仿宋_GB2312" w:hAnsi="仿宋_GB2312" w:eastAsia="仿宋_GB2312" w:cs="仿宋_GB2312"/>
          <w:b w:val="0"/>
          <w:bCs w:val="0"/>
          <w:sz w:val="32"/>
          <w:szCs w:val="32"/>
          <w:u w:val="none" w:color="auto"/>
          <w:lang w:eastAsia="zh-CN"/>
        </w:rPr>
        <w:t>为贯彻落实</w:t>
      </w:r>
      <w:r>
        <w:rPr>
          <w:rFonts w:hint="eastAsia" w:ascii="仿宋_GB2312" w:hAnsi="仿宋_GB2312" w:eastAsia="仿宋_GB2312" w:cs="仿宋_GB2312"/>
          <w:b w:val="0"/>
          <w:bCs w:val="0"/>
          <w:sz w:val="32"/>
          <w:szCs w:val="32"/>
          <w:highlight w:val="none"/>
          <w:u w:val="none" w:color="auto"/>
          <w:lang w:eastAsia="zh-CN"/>
        </w:rPr>
        <w:t>党的二十大精神，</w:t>
      </w:r>
      <w:r>
        <w:rPr>
          <w:rFonts w:hint="eastAsia" w:ascii="仿宋_GB2312" w:hAnsi="仿宋_GB2312" w:eastAsia="仿宋_GB2312" w:cs="仿宋_GB2312"/>
          <w:b w:val="0"/>
          <w:bCs w:val="0"/>
          <w:sz w:val="32"/>
          <w:szCs w:val="32"/>
          <w:u w:val="none" w:color="auto"/>
          <w:lang w:val="en-US" w:eastAsia="zh-CN"/>
        </w:rPr>
        <w:t>积极践行以人民为中心的发展思想，建立健全人民群众满意的养老服务体系</w:t>
      </w:r>
      <w:r>
        <w:rPr>
          <w:rFonts w:hint="eastAsia" w:ascii="仿宋_GB2312" w:hAnsi="仿宋_GB2312" w:eastAsia="仿宋_GB2312" w:cs="仿宋_GB2312"/>
          <w:b w:val="0"/>
          <w:bCs w:val="0"/>
          <w:sz w:val="32"/>
          <w:szCs w:val="32"/>
          <w:u w:val="none" w:color="auto"/>
          <w:lang w:eastAsia="zh-CN"/>
        </w:rPr>
        <w:t>，根据《上饶市推进养老服务提质升级三年行动方案（</w:t>
      </w:r>
      <w:r>
        <w:rPr>
          <w:rFonts w:hint="eastAsia" w:ascii="仿宋_GB2312" w:hAnsi="仿宋_GB2312" w:eastAsia="仿宋_GB2312" w:cs="仿宋_GB2312"/>
          <w:b w:val="0"/>
          <w:bCs w:val="0"/>
          <w:sz w:val="32"/>
          <w:szCs w:val="32"/>
          <w:u w:val="none" w:color="auto"/>
          <w:lang w:val="en-US" w:eastAsia="zh-CN"/>
        </w:rPr>
        <w:t>2023-2025年</w:t>
      </w:r>
      <w:r>
        <w:rPr>
          <w:rFonts w:hint="eastAsia" w:ascii="仿宋_GB2312" w:hAnsi="仿宋_GB2312" w:eastAsia="仿宋_GB2312" w:cs="仿宋_GB2312"/>
          <w:b w:val="0"/>
          <w:bCs w:val="0"/>
          <w:sz w:val="32"/>
          <w:szCs w:val="32"/>
          <w:u w:val="none" w:color="auto"/>
          <w:lang w:eastAsia="zh-CN"/>
        </w:rPr>
        <w:t>）》</w:t>
      </w:r>
      <w:r>
        <w:rPr>
          <w:rFonts w:hint="eastAsia" w:ascii="仿宋_GB2312" w:hAnsi="仿宋_GB2312" w:eastAsia="仿宋_GB2312" w:cs="仿宋_GB2312"/>
          <w:b w:val="0"/>
          <w:bCs w:val="0"/>
          <w:i w:val="0"/>
          <w:caps w:val="0"/>
          <w:spacing w:val="0"/>
          <w:w w:val="100"/>
          <w:sz w:val="32"/>
          <w:szCs w:val="32"/>
          <w:lang w:val="en-US" w:eastAsia="zh-CN"/>
        </w:rPr>
        <w:t>（</w:t>
      </w:r>
      <w:r>
        <w:rPr>
          <w:rFonts w:hint="eastAsia" w:ascii="仿宋_GB2312" w:hAnsi="仿宋_GB2312" w:eastAsia="仿宋_GB2312" w:cs="仿宋_GB2312"/>
          <w:b w:val="0"/>
          <w:bCs w:val="0"/>
          <w:color w:val="000000"/>
          <w:kern w:val="0"/>
          <w:sz w:val="31"/>
          <w:szCs w:val="31"/>
          <w:lang w:val="en-US" w:eastAsia="zh-CN" w:bidi="ar"/>
        </w:rPr>
        <w:t>饶府办发〔2023〕8号）</w:t>
      </w:r>
      <w:r>
        <w:rPr>
          <w:rFonts w:hint="eastAsia" w:ascii="仿宋_GB2312" w:hAnsi="仿宋_GB2312" w:eastAsia="仿宋_GB2312" w:cs="仿宋_GB2312"/>
          <w:b w:val="0"/>
          <w:bCs w:val="0"/>
          <w:sz w:val="32"/>
          <w:szCs w:val="32"/>
          <w:u w:val="none" w:color="auto"/>
          <w:lang w:eastAsia="zh-CN"/>
        </w:rPr>
        <w:t>精神，结合实际，现制定如下实施方案。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60" w:lineRule="exact"/>
        <w:ind w:left="0" w:leftChars="0" w:right="0" w:rightChars="0" w:firstLine="643" w:firstLineChars="200"/>
        <w:jc w:val="both"/>
        <w:textAlignment w:val="auto"/>
        <w:outlineLvl w:val="9"/>
        <w:rPr>
          <w:rFonts w:hint="eastAsia" w:ascii="黑体" w:hAnsi="宋体" w:eastAsia="黑体" w:cs="楷体_GB2312"/>
          <w:b/>
          <w:bCs/>
          <w:color w:val="auto"/>
          <w:sz w:val="32"/>
          <w:szCs w:val="44"/>
          <w:lang w:val="en-US"/>
        </w:rPr>
      </w:pPr>
      <w:r>
        <w:rPr>
          <w:rFonts w:hint="eastAsia" w:ascii="黑体" w:hAnsi="宋体" w:eastAsia="黑体" w:cs="黑体"/>
          <w:b/>
          <w:bCs/>
          <w:color w:val="auto"/>
          <w:kern w:val="2"/>
          <w:sz w:val="32"/>
          <w:szCs w:val="44"/>
          <w:lang w:val="en-US" w:eastAsia="zh-CN"/>
        </w:rPr>
        <w:t>一、</w:t>
      </w:r>
      <w:r>
        <w:rPr>
          <w:rFonts w:hint="eastAsia" w:ascii="黑体" w:hAnsi="宋体" w:eastAsia="黑体" w:cs="楷体_GB2312"/>
          <w:b/>
          <w:bCs/>
          <w:color w:val="auto"/>
          <w:kern w:val="2"/>
          <w:sz w:val="32"/>
          <w:szCs w:val="44"/>
          <w:lang w:val="en-US" w:eastAsia="zh-CN"/>
        </w:rPr>
        <w:t>提升居家社区养老服务品质</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楷体_GB2312" w:hAnsi="楷体_GB2312" w:eastAsia="楷体_GB2312" w:cs="楷体_GB2312"/>
          <w:b w:val="0"/>
          <w:bCs w:val="0"/>
          <w:sz w:val="32"/>
          <w:szCs w:val="32"/>
          <w:highlight w:val="none"/>
          <w:u w:val="none" w:color="auto"/>
          <w:lang w:val="en-US" w:eastAsia="zh-CN"/>
        </w:rPr>
      </w:pPr>
      <w:r>
        <w:rPr>
          <w:rFonts w:hint="eastAsia" w:ascii="楷体_GB2312" w:hAnsi="楷体_GB2312" w:eastAsia="楷体_GB2312" w:cs="方正楷体_GBK"/>
          <w:b/>
          <w:bCs/>
          <w:color w:val="auto"/>
          <w:kern w:val="2"/>
          <w:sz w:val="32"/>
          <w:szCs w:val="44"/>
          <w:highlight w:val="none"/>
          <w:lang w:val="en-US" w:eastAsia="zh-CN"/>
        </w:rPr>
        <w:t>（一）增加社区养老服务设施供给</w:t>
      </w:r>
      <w:r>
        <w:rPr>
          <w:rFonts w:hint="eastAsia" w:ascii="楷体_GB2312" w:hAnsi="楷体_GB2312" w:eastAsia="楷体_GB2312" w:cs="方正楷体_GBK"/>
          <w:color w:val="auto"/>
          <w:kern w:val="2"/>
          <w:sz w:val="32"/>
          <w:szCs w:val="44"/>
          <w:highlight w:val="none"/>
          <w:lang w:val="en-US" w:eastAsia="zh-CN"/>
        </w:rPr>
        <w:t>。</w:t>
      </w:r>
      <w:r>
        <w:rPr>
          <w:rFonts w:hint="default" w:ascii="仿宋_GB2312" w:hAnsi="仿宋_GB2312" w:eastAsia="仿宋_GB2312" w:cs="仿宋_GB2312"/>
          <w:color w:val="auto"/>
          <w:kern w:val="2"/>
          <w:sz w:val="32"/>
          <w:szCs w:val="44"/>
          <w:u w:val="none"/>
          <w:lang w:val="en" w:eastAsia="zh-CN"/>
        </w:rPr>
        <w:t>新建住宅小区（包括新建居住区和新建居住小区）</w:t>
      </w:r>
      <w:r>
        <w:rPr>
          <w:rFonts w:hint="eastAsia" w:ascii="仿宋_GB2312" w:hAnsi="仿宋_GB2312" w:eastAsia="仿宋_GB2312" w:cs="仿宋_GB2312"/>
          <w:color w:val="auto"/>
          <w:kern w:val="2"/>
          <w:sz w:val="32"/>
          <w:szCs w:val="44"/>
          <w:u w:val="none"/>
          <w:lang w:val="en" w:eastAsia="zh-CN"/>
        </w:rPr>
        <w:t>按</w:t>
      </w:r>
      <w:r>
        <w:rPr>
          <w:rFonts w:hint="default" w:ascii="仿宋_GB2312" w:hAnsi="仿宋_GB2312" w:eastAsia="仿宋_GB2312" w:cs="仿宋_GB2312"/>
          <w:color w:val="auto"/>
          <w:kern w:val="2"/>
          <w:sz w:val="32"/>
          <w:szCs w:val="44"/>
          <w:u w:val="none"/>
          <w:lang w:val="en" w:eastAsia="zh-CN"/>
        </w:rPr>
        <w:t>照“四同步”原则</w:t>
      </w:r>
      <w:r>
        <w:rPr>
          <w:rFonts w:hint="eastAsia" w:ascii="仿宋_GB2312" w:hAnsi="仿宋_GB2312" w:eastAsia="仿宋_GB2312" w:cs="仿宋_GB2312"/>
          <w:color w:val="auto"/>
          <w:kern w:val="2"/>
          <w:sz w:val="32"/>
          <w:szCs w:val="44"/>
          <w:u w:val="none"/>
          <w:lang w:val="en-US" w:eastAsia="zh-CN"/>
        </w:rPr>
        <w:t>配建社区居家养老服务设施，民政部门参与验收，现场验收时，一并签订移交协议，产权归属地民政部门并依法依规办理不动产登记；开展城市居住区配建养老服务设施专项治理，整改到位前不组织验收，确保配建达标率100%。结合城市更新补齐居家和社区养老服务短板。利用具备条件的闲置办公用房、厂房等资源改建养老服务设施。政府投入资源和出资建设的养老服务设施优先用于基本养老服务，可通过公开招标等方式委托社会力量运营，</w:t>
      </w:r>
      <w:r>
        <w:rPr>
          <w:rFonts w:hint="eastAsia" w:ascii="仿宋_GB2312" w:hAnsi="仿宋_GB2312" w:eastAsia="仿宋_GB2312" w:cs="仿宋_GB2312"/>
          <w:b w:val="0"/>
          <w:bCs w:val="0"/>
          <w:color w:val="000000" w:themeColor="text1"/>
          <w:kern w:val="2"/>
          <w:sz w:val="32"/>
          <w:szCs w:val="44"/>
          <w:u w:val="none"/>
          <w:lang w:val="en-US" w:eastAsia="zh-CN"/>
          <w14:textFill>
            <w14:solidFill>
              <w14:schemeClr w14:val="tx1"/>
            </w14:solidFill>
          </w14:textFill>
        </w:rPr>
        <w:t>实行前2-3年免租，后2年减半或适当收取租金等方式。</w:t>
      </w:r>
      <w:r>
        <w:rPr>
          <w:rFonts w:hint="eastAsia" w:ascii="仿宋_GB2312" w:hAnsi="仿宋_GB2312" w:eastAsia="仿宋_GB2312" w:cs="仿宋_GB2312"/>
          <w:color w:val="auto"/>
          <w:kern w:val="2"/>
          <w:sz w:val="32"/>
          <w:szCs w:val="44"/>
          <w:u w:val="none"/>
          <w:lang w:val="en-US" w:eastAsia="zh-CN"/>
        </w:rPr>
        <w:t>〔</w:t>
      </w:r>
      <w:r>
        <w:rPr>
          <w:rFonts w:hint="eastAsia" w:ascii="楷体_GB2312" w:hAnsi="楷体_GB2312" w:eastAsia="楷体_GB2312" w:cs="楷体_GB2312"/>
          <w:color w:val="auto"/>
          <w:kern w:val="2"/>
          <w:sz w:val="32"/>
          <w:szCs w:val="44"/>
          <w:lang w:val="en-US" w:eastAsia="zh-CN"/>
        </w:rPr>
        <w:t>责任单位：县民政局、县发改委、县自然资源局、县住建局、县财政局、县</w:t>
      </w:r>
      <w:r>
        <w:rPr>
          <w:rFonts w:hint="default" w:ascii="楷体_GB2312" w:hAnsi="楷体_GB2312" w:eastAsia="楷体_GB2312" w:cs="楷体_GB2312"/>
          <w:color w:val="auto"/>
          <w:kern w:val="2"/>
          <w:sz w:val="32"/>
          <w:szCs w:val="44"/>
          <w:lang w:val="en" w:eastAsia="zh-CN"/>
        </w:rPr>
        <w:t>国资</w:t>
      </w:r>
      <w:r>
        <w:rPr>
          <w:rFonts w:hint="eastAsia" w:ascii="楷体_GB2312" w:hAnsi="楷体_GB2312" w:eastAsia="楷体_GB2312" w:cs="楷体_GB2312"/>
          <w:color w:val="auto"/>
          <w:kern w:val="2"/>
          <w:sz w:val="32"/>
          <w:szCs w:val="44"/>
          <w:lang w:val="en" w:eastAsia="zh-CN"/>
        </w:rPr>
        <w:t>办</w:t>
      </w:r>
      <w:r>
        <w:rPr>
          <w:rFonts w:hint="eastAsia" w:ascii="楷体_GB2312" w:hAnsi="楷体_GB2312" w:eastAsia="楷体_GB2312" w:cs="楷体_GB2312"/>
          <w:color w:val="auto"/>
          <w:kern w:val="2"/>
          <w:sz w:val="32"/>
          <w:szCs w:val="44"/>
          <w:lang w:val="en-US" w:eastAsia="zh-CN"/>
        </w:rPr>
        <w:t>、</w:t>
      </w:r>
      <w:r>
        <w:rPr>
          <w:rFonts w:hint="eastAsia" w:ascii="楷体_GB2312" w:hAnsi="楷体_GB2312" w:eastAsia="楷体_GB2312" w:cs="楷体_GB2312"/>
          <w:b w:val="0"/>
          <w:bCs w:val="0"/>
          <w:sz w:val="32"/>
          <w:szCs w:val="32"/>
          <w:highlight w:val="none"/>
          <w:u w:val="none" w:color="auto"/>
          <w:lang w:val="en-US" w:eastAsia="zh-CN"/>
        </w:rPr>
        <w:t>各乡镇（办事处）</w:t>
      </w:r>
      <w:r>
        <w:rPr>
          <w:rFonts w:hint="default" w:ascii="微软雅黑" w:hAnsi="微软雅黑" w:eastAsia="华文仿宋" w:cs="微软雅黑"/>
          <w:b w:val="0"/>
          <w:bCs w:val="0"/>
          <w:sz w:val="32"/>
          <w:szCs w:val="32"/>
          <w:highlight w:val="none"/>
          <w:u w:val="none" w:color="auto"/>
          <w:lang w:val="en-US" w:eastAsia="zh-CN"/>
        </w:rPr>
        <w:t>〕</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lang w:val="en-US" w:eastAsia="zh-CN"/>
        </w:rPr>
      </w:pP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color w:val="auto"/>
          <w:sz w:val="32"/>
          <w:szCs w:val="32"/>
          <w:lang w:val="en-US" w:eastAsia="zh-CN"/>
        </w:rPr>
        <w:t>加强社区养老服务网络建设。</w:t>
      </w:r>
      <w:r>
        <w:rPr>
          <w:rFonts w:hint="eastAsia" w:ascii="仿宋_GB2312" w:hAnsi="仿宋_GB2312" w:eastAsia="仿宋_GB2312" w:cs="仿宋_GB2312"/>
          <w:color w:val="auto"/>
          <w:kern w:val="2"/>
          <w:sz w:val="32"/>
          <w:szCs w:val="22"/>
          <w:lang w:val="en-US" w:eastAsia="zh-CN"/>
        </w:rPr>
        <w:t>构建城市15分钟“养老服务圈”，大力发展“家门口的养老院、送上门的养老服务”。完善以城镇养老服务中心为枢纽,以社区嵌入式养老院为重点、以日间照料中心为补充的城市社区养老服务网络。到2023年底前，全县新建2个社区日间照料中心，6个社区老年助餐点；到2025年底，至少建有1个建筑面积不少于1000平方米，具备照护托养、日间照料、康复护理、上门服务等综合功能的养老服务中心。合理统筹建设社区嵌入式养老院，在老年人口密度较高的区域适当增加布点。社区日间照料中心实现全覆盖，提供日间照料、助餐、文化娱乐等服务。整合社区养老服务设施、社会餐饮企业等资源</w:t>
      </w:r>
      <w:r>
        <w:rPr>
          <w:rFonts w:hint="eastAsia" w:ascii="仿宋_GB2312" w:hAnsi="仿宋_GB2312" w:eastAsia="仿宋_GB2312" w:cs="仿宋_GB2312"/>
          <w:color w:val="auto"/>
          <w:kern w:val="2"/>
          <w:sz w:val="32"/>
          <w:szCs w:val="22"/>
          <w:u w:val="none"/>
          <w:lang w:val="en-US" w:eastAsia="zh-CN"/>
        </w:rPr>
        <w:t>，采取“线上线下”、服务重点人群与社会大众相结合的方式提供老年助餐服务。利用农村闲置校舍、老村部等资源，因地制宜发展“党建+</w:t>
      </w:r>
      <w:r>
        <w:rPr>
          <w:rFonts w:hint="eastAsia" w:ascii="仿宋_GB2312" w:hAnsi="仿宋_GB2312" w:eastAsia="仿宋_GB2312" w:cs="仿宋_GB2312"/>
          <w:color w:val="auto"/>
          <w:kern w:val="2"/>
          <w:sz w:val="32"/>
          <w:szCs w:val="22"/>
          <w:lang w:val="en-US" w:eastAsia="zh-CN"/>
        </w:rPr>
        <w:t>农村互助养老服务”，</w:t>
      </w:r>
      <w:r>
        <w:rPr>
          <w:rFonts w:hint="eastAsia" w:ascii="仿宋_GB2312" w:hAnsi="仿宋_GB2312" w:eastAsia="仿宋_GB2312" w:cs="仿宋_GB2312"/>
          <w:color w:val="auto"/>
          <w:kern w:val="2"/>
          <w:sz w:val="32"/>
          <w:szCs w:val="22"/>
          <w:u w:val="none"/>
          <w:lang w:val="en-US" w:eastAsia="zh-CN"/>
        </w:rPr>
        <w:t>为留守等老年人</w:t>
      </w:r>
      <w:r>
        <w:rPr>
          <w:rFonts w:hint="eastAsia" w:ascii="仿宋_GB2312" w:hAnsi="仿宋_GB2312" w:eastAsia="仿宋_GB2312" w:cs="仿宋_GB2312"/>
          <w:color w:val="auto"/>
          <w:kern w:val="2"/>
          <w:sz w:val="32"/>
          <w:szCs w:val="22"/>
          <w:lang w:val="en-US" w:eastAsia="zh-CN"/>
        </w:rPr>
        <w:t>提供“四助”服务</w:t>
      </w:r>
      <w:r>
        <w:rPr>
          <w:rFonts w:hint="eastAsia" w:ascii="仿宋_GB2312" w:hAnsi="仿宋_GB2312" w:eastAsia="仿宋_GB2312" w:cs="仿宋_GB2312"/>
          <w:color w:val="auto"/>
          <w:kern w:val="2"/>
          <w:sz w:val="32"/>
          <w:szCs w:val="22"/>
          <w:u w:val="none"/>
          <w:lang w:val="en-US" w:eastAsia="zh-CN"/>
        </w:rPr>
        <w:t>。到2025年，农村互助养老服务设施覆盖85%以上的建制村。</w:t>
      </w:r>
      <w:r>
        <w:rPr>
          <w:rFonts w:hint="eastAsia" w:ascii="华文仿宋" w:hAnsi="华文仿宋" w:eastAsia="华文仿宋" w:cs="华文仿宋"/>
          <w:color w:val="auto"/>
          <w:kern w:val="2"/>
          <w:sz w:val="32"/>
          <w:szCs w:val="44"/>
          <w:u w:val="none"/>
          <w:lang w:val="en-US" w:eastAsia="zh-CN"/>
        </w:rPr>
        <w:t>〔</w:t>
      </w:r>
      <w:r>
        <w:rPr>
          <w:rFonts w:hint="eastAsia" w:ascii="楷体_GB2312" w:hAnsi="楷体_GB2312" w:eastAsia="楷体_GB2312" w:cs="方正楷体_GBK"/>
          <w:color w:val="auto"/>
          <w:kern w:val="2"/>
          <w:sz w:val="32"/>
          <w:szCs w:val="44"/>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委组织部、</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发改委、</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住建局、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财政局、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农业农村局、各乡镇（办事处）</w:t>
      </w:r>
      <w:r>
        <w:rPr>
          <w:rFonts w:hint="eastAsia" w:ascii="华文仿宋" w:hAnsi="华文仿宋" w:eastAsia="华文仿宋" w:cs="华文仿宋"/>
          <w:b w:val="0"/>
          <w:bCs w:val="0"/>
          <w:sz w:val="32"/>
          <w:szCs w:val="32"/>
          <w:highlight w:val="none"/>
          <w:u w:val="none" w:color="auto"/>
          <w:lang w:val="en-US" w:eastAsia="zh-CN"/>
        </w:rPr>
        <w:t>〕</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lang w:val="en-US" w:eastAsia="zh-CN"/>
        </w:rPr>
      </w:pPr>
      <w:r>
        <w:rPr>
          <w:rFonts w:hint="eastAsia" w:ascii="楷体_GB2312" w:hAnsi="楷体_GB2312" w:eastAsia="楷体_GB2312" w:cs="楷体_GB2312"/>
          <w:b/>
          <w:bCs/>
          <w:sz w:val="32"/>
          <w:szCs w:val="32"/>
          <w:lang w:val="en-US" w:eastAsia="zh-CN"/>
        </w:rPr>
        <w:t>（三）加强社区资源</w:t>
      </w:r>
      <w:r>
        <w:rPr>
          <w:rFonts w:hint="eastAsia" w:ascii="楷体_GB2312" w:hAnsi="楷体_GB2312" w:eastAsia="楷体_GB2312" w:cs="楷体_GB2312"/>
          <w:b/>
          <w:bCs/>
          <w:sz w:val="32"/>
          <w:szCs w:val="32"/>
          <w:u w:val="none"/>
          <w:lang w:val="en-US" w:eastAsia="zh-CN"/>
        </w:rPr>
        <w:t>整合</w:t>
      </w:r>
      <w:r>
        <w:rPr>
          <w:rFonts w:hint="eastAsia" w:ascii="楷体_GB2312" w:hAnsi="楷体_GB2312" w:eastAsia="楷体_GB2312" w:cs="楷体_GB2312"/>
          <w:b/>
          <w:bCs/>
          <w:sz w:val="32"/>
          <w:szCs w:val="32"/>
          <w:lang w:val="en-US" w:eastAsia="zh-CN"/>
        </w:rPr>
        <w:t>和功能</w:t>
      </w:r>
      <w:r>
        <w:rPr>
          <w:rFonts w:hint="eastAsia" w:ascii="楷体_GB2312" w:hAnsi="楷体_GB2312" w:eastAsia="楷体_GB2312" w:cs="楷体_GB2312"/>
          <w:b/>
          <w:bCs/>
          <w:sz w:val="32"/>
          <w:szCs w:val="32"/>
          <w:u w:val="none"/>
          <w:lang w:val="en-US" w:eastAsia="zh-CN"/>
        </w:rPr>
        <w:t>融合</w:t>
      </w:r>
      <w:r>
        <w:rPr>
          <w:rFonts w:hint="eastAsia" w:ascii="楷体_GB2312" w:hAnsi="楷体_GB2312" w:eastAsia="楷体_GB2312" w:cs="楷体_GB2312"/>
          <w:b/>
          <w:bCs/>
          <w:sz w:val="32"/>
          <w:szCs w:val="32"/>
          <w:lang w:val="en-US" w:eastAsia="zh-CN"/>
        </w:rPr>
        <w:t>。</w:t>
      </w:r>
      <w:r>
        <w:rPr>
          <w:rFonts w:hint="eastAsia" w:ascii="仿宋_GB2312" w:hAnsi="仿宋_GB2312" w:eastAsia="仿宋_GB2312" w:cs="仿宋_GB2312"/>
          <w:color w:val="auto"/>
          <w:kern w:val="2"/>
          <w:sz w:val="32"/>
          <w:szCs w:val="22"/>
          <w:u w:val="none" w:color="auto"/>
          <w:lang w:val="en-US" w:eastAsia="zh-CN"/>
        </w:rPr>
        <w:t>推动养老、文化、教育、体育、医疗卫生等公共设施场所和功能相对整合，具备条件的党群服务中心、新时代文明实践中心（所、站）、基层综合性文化服务中心等积极拓展养老服务空间，为老年人提供就近就便的照料护理、学习教育、文化娱乐、体育健身、健康管理等服务。推进老年开放大学建设，依托社区教育三级办学机构，大力开展老年教育活动。</w:t>
      </w:r>
      <w:r>
        <w:rPr>
          <w:rFonts w:hint="eastAsia" w:ascii="华文仿宋" w:hAnsi="华文仿宋" w:eastAsia="华文仿宋" w:cs="华文仿宋"/>
          <w:color w:val="auto"/>
          <w:kern w:val="2"/>
          <w:sz w:val="32"/>
          <w:szCs w:val="44"/>
          <w:u w:val="none"/>
          <w:lang w:val="en-US" w:eastAsia="zh-CN"/>
        </w:rPr>
        <w:t>〔</w:t>
      </w:r>
      <w:r>
        <w:rPr>
          <w:rFonts w:hint="eastAsia" w:ascii="楷体_GB2312" w:hAnsi="楷体_GB2312" w:eastAsia="楷体_GB2312" w:cs="楷体_GB2312"/>
          <w:b w:val="0"/>
          <w:bCs w:val="0"/>
          <w:sz w:val="32"/>
          <w:szCs w:val="32"/>
          <w:highlight w:val="none"/>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委组织部、</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文明办、</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文广新旅局、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教体局、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卫健委、</w:t>
      </w:r>
      <w:r>
        <w:rPr>
          <w:rFonts w:hint="eastAsia" w:ascii="楷体_GB2312" w:hAnsi="楷体_GB2312" w:eastAsia="楷体_GB2312" w:cs="方正楷体_GBK"/>
          <w:color w:val="auto"/>
          <w:kern w:val="2"/>
          <w:sz w:val="32"/>
          <w:szCs w:val="44"/>
          <w:lang w:val="en-US" w:eastAsia="zh-CN"/>
        </w:rPr>
        <w:t>各乡镇（办事处）</w:t>
      </w:r>
      <w:r>
        <w:rPr>
          <w:rFonts w:hint="eastAsia" w:ascii="华文仿宋" w:hAnsi="华文仿宋" w:eastAsia="华文仿宋" w:cs="华文仿宋"/>
          <w:b w:val="0"/>
          <w:bCs w:val="0"/>
          <w:sz w:val="32"/>
          <w:szCs w:val="32"/>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楷体_GB2312" w:hAnsi="楷体_GB2312" w:eastAsia="楷体_GB2312" w:cs="方正楷体_GBK"/>
          <w:color w:val="auto"/>
          <w:kern w:val="2"/>
          <w:sz w:val="32"/>
          <w:szCs w:val="44"/>
          <w:lang w:val="en-US" w:eastAsia="zh-CN"/>
        </w:rPr>
      </w:pPr>
      <w:r>
        <w:rPr>
          <w:rFonts w:hint="eastAsia" w:ascii="楷体_GB2312" w:hAnsi="楷体_GB2312" w:eastAsia="楷体_GB2312" w:cs="楷体_GB2312"/>
          <w:b/>
          <w:bCs/>
          <w:sz w:val="32"/>
          <w:szCs w:val="32"/>
          <w:lang w:val="en-US" w:eastAsia="zh-CN"/>
        </w:rPr>
        <w:t>（四）推动居家养老服务方便可及。</w:t>
      </w:r>
      <w:r>
        <w:rPr>
          <w:rFonts w:hint="eastAsia" w:ascii="仿宋_GB2312" w:hAnsi="仿宋_GB2312" w:eastAsia="仿宋_GB2312" w:cs="仿宋_GB2312"/>
          <w:sz w:val="32"/>
          <w:szCs w:val="32"/>
          <w:u w:val="none"/>
          <w:lang w:val="en-US" w:eastAsia="zh-CN"/>
        </w:rPr>
        <w:t>开展养老服务需求评估，</w:t>
      </w:r>
      <w:r>
        <w:rPr>
          <w:rFonts w:hint="eastAsia" w:ascii="仿宋_GB2312" w:hAnsi="仿宋_GB2312" w:eastAsia="仿宋_GB2312" w:cs="仿宋_GB2312"/>
          <w:color w:val="auto"/>
          <w:kern w:val="2"/>
          <w:sz w:val="32"/>
          <w:szCs w:val="22"/>
          <w:u w:val="none"/>
          <w:lang w:val="en-US" w:eastAsia="zh-CN"/>
        </w:rPr>
        <w:t>制定居家上门服务清单，明确服务内容和标准。支持和培育涉老服务机构开展家庭养老延伸服务，提供助餐、助洁、助行、助浴、助医、助娱等上门服务。到2025年底，完成420户特殊困难老年人家庭居家适老化改造，引导其他有需要的老年人家庭自主开展居家适老化改造。发挥基层党组织作用，支持和引导基层组织、乡镇社工站、社会组织及党员干部、社区工作者、社区网格员、专业社工、志愿者、热心群众、亲属邻里等开展特殊困难老年人探访关爱服务，到2025年底，月探访率达100%。</w:t>
      </w:r>
      <w:r>
        <w:rPr>
          <w:rFonts w:hint="eastAsia" w:ascii="仿宋_GB2312" w:hAnsi="仿宋_GB2312" w:eastAsia="仿宋_GB2312" w:cs="仿宋_GB2312"/>
          <w:color w:val="auto"/>
          <w:kern w:val="2"/>
          <w:sz w:val="32"/>
          <w:szCs w:val="22"/>
          <w:lang w:val="en-US" w:eastAsia="zh-CN"/>
        </w:rPr>
        <w:t>通过政府购买服务、慈善组织公益培训、网络公开培训课程等方式，开展分散特困老年人照料、家庭照护者技能培训，帮助老年人家庭成员提高照护能力。</w:t>
      </w:r>
      <w:r>
        <w:rPr>
          <w:rFonts w:hint="eastAsia" w:ascii="华文仿宋" w:hAnsi="华文仿宋" w:eastAsia="华文仿宋" w:cs="华文仿宋"/>
          <w:color w:val="auto"/>
          <w:kern w:val="2"/>
          <w:sz w:val="32"/>
          <w:szCs w:val="44"/>
          <w:u w:val="none"/>
          <w:lang w:val="en-US" w:eastAsia="zh-CN"/>
        </w:rPr>
        <w:t>〔</w:t>
      </w:r>
      <w:r>
        <w:rPr>
          <w:rFonts w:hint="eastAsia" w:ascii="楷体_GB2312" w:hAnsi="楷体_GB2312" w:eastAsia="楷体_GB2312" w:cs="方正楷体_GBK"/>
          <w:color w:val="auto"/>
          <w:kern w:val="2"/>
          <w:sz w:val="32"/>
          <w:szCs w:val="44"/>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民政局、县委政法委、</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财政局、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住建局、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残联、</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红十字会、</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医保局、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方正楷体_GBK"/>
          <w:color w:val="auto"/>
          <w:kern w:val="2"/>
          <w:sz w:val="32"/>
          <w:szCs w:val="44"/>
          <w:lang w:val="en-US" w:eastAsia="zh-CN"/>
        </w:rPr>
        <w:t>文明办，各乡镇（办事处）</w:t>
      </w:r>
      <w:r>
        <w:rPr>
          <w:rFonts w:hint="eastAsia" w:ascii="华文仿宋" w:hAnsi="华文仿宋" w:eastAsia="华文仿宋" w:cs="华文仿宋"/>
          <w:b w:val="0"/>
          <w:bCs w:val="0"/>
          <w:sz w:val="32"/>
          <w:szCs w:val="32"/>
          <w:highlight w:val="none"/>
          <w:u w:val="none" w:color="auto"/>
          <w:lang w:val="en-US" w:eastAsia="zh-CN"/>
        </w:rPr>
        <w:t>〕</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黑体" w:hAnsi="黑体" w:eastAsia="黑体" w:cs="黑体"/>
          <w:b/>
          <w:bCs/>
          <w:sz w:val="32"/>
          <w:szCs w:val="32"/>
          <w:u w:val="none" w:color="auto"/>
          <w:lang w:val="en-US" w:eastAsia="zh-CN"/>
        </w:rPr>
      </w:pPr>
      <w:r>
        <w:rPr>
          <w:rFonts w:hint="eastAsia" w:ascii="黑体" w:hAnsi="黑体" w:eastAsia="黑体" w:cs="黑体"/>
          <w:b/>
          <w:bCs/>
          <w:sz w:val="32"/>
          <w:szCs w:val="32"/>
          <w:u w:val="none" w:color="auto"/>
          <w:lang w:val="en-US" w:eastAsia="zh-CN"/>
        </w:rPr>
        <w:t>二、深化公办养老机构改革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val="0"/>
          <w:bCs w:val="0"/>
          <w:sz w:val="32"/>
          <w:szCs w:val="32"/>
          <w:highlight w:val="none"/>
          <w:u w:val="none" w:color="auto"/>
          <w:lang w:val="en-US" w:eastAsia="zh-CN"/>
        </w:rPr>
      </w:pPr>
      <w:r>
        <w:rPr>
          <w:rFonts w:hint="eastAsia" w:ascii="楷体_GB2312" w:hAnsi="楷体_GB2312" w:eastAsia="楷体_GB2312" w:cs="楷体_GB2312"/>
          <w:b/>
          <w:bCs/>
          <w:sz w:val="32"/>
          <w:szCs w:val="32"/>
          <w:highlight w:val="none"/>
          <w:u w:val="none" w:color="auto"/>
          <w:lang w:val="en-US" w:eastAsia="zh-CN"/>
        </w:rPr>
        <w:t>（五）建设高品质公办养老机构。</w:t>
      </w:r>
      <w:r>
        <w:rPr>
          <w:rFonts w:hint="eastAsia" w:ascii="仿宋_GB2312" w:hAnsi="仿宋_GB2312" w:eastAsia="仿宋_GB2312" w:cs="仿宋_GB2312"/>
          <w:b w:val="0"/>
          <w:bCs w:val="0"/>
          <w:sz w:val="32"/>
          <w:szCs w:val="32"/>
          <w:highlight w:val="none"/>
          <w:u w:val="none" w:color="auto"/>
          <w:lang w:val="en-US" w:eastAsia="zh-CN"/>
        </w:rPr>
        <w:t>学习兄弟县市（区）公办养老机构改革经验，</w:t>
      </w:r>
      <w:r>
        <w:rPr>
          <w:rFonts w:hint="eastAsia" w:ascii="仿宋_GB2312" w:hAnsi="仿宋_GB2312" w:eastAsia="仿宋_GB2312" w:cs="仿宋_GB2312"/>
          <w:sz w:val="32"/>
          <w:szCs w:val="32"/>
          <w:u w:val="none" w:color="auto"/>
          <w:lang w:val="en-US" w:eastAsia="zh-CN"/>
        </w:rPr>
        <w:t>推动实现乡镇敬老院县级民政部门直管。根据农村老年人口发展趋势及特困供养人数，有效整合现有资源，积极争取上级资金，对老旧破损、功能不全的农村敬老院改造升级，对有集中供养意愿的特困人员实现“应养尽养”。到2025年全县公办养老机构入住率达到60%。</w:t>
      </w:r>
      <w:r>
        <w:rPr>
          <w:rFonts w:hint="eastAsia" w:ascii="华文仿宋" w:hAnsi="华文仿宋" w:eastAsia="华文仿宋" w:cs="华文仿宋"/>
          <w:color w:val="auto"/>
          <w:kern w:val="2"/>
          <w:sz w:val="32"/>
          <w:szCs w:val="44"/>
          <w:u w:val="none"/>
          <w:lang w:val="en-US" w:eastAsia="zh-CN"/>
        </w:rPr>
        <w:t>〔</w:t>
      </w:r>
      <w:r>
        <w:rPr>
          <w:rFonts w:hint="eastAsia" w:ascii="楷体_GB2312" w:hAnsi="楷体_GB2312" w:eastAsia="楷体_GB2312" w:cs="楷体_GB2312"/>
          <w:b w:val="0"/>
          <w:bCs w:val="0"/>
          <w:sz w:val="32"/>
          <w:szCs w:val="32"/>
          <w:highlight w:val="none"/>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民政局、</w:t>
      </w:r>
      <w:r>
        <w:rPr>
          <w:rFonts w:hint="eastAsia" w:ascii="楷体_GB2312" w:hAnsi="楷体_GB2312" w:eastAsia="楷体_GB2312" w:cs="楷体_GB2312"/>
          <w:b w:val="0"/>
          <w:bCs w:val="0"/>
          <w:color w:val="auto"/>
          <w:sz w:val="32"/>
          <w:szCs w:val="32"/>
          <w:highlight w:val="none"/>
          <w:u w:val="none" w:color="auto"/>
          <w:lang w:val="en-US" w:eastAsia="zh-CN"/>
        </w:rPr>
        <w:t>县委编办、</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财政局、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人社局</w:t>
      </w:r>
      <w:r>
        <w:rPr>
          <w:rFonts w:hint="eastAsia" w:ascii="华文仿宋" w:hAnsi="华文仿宋" w:eastAsia="华文仿宋" w:cs="华文仿宋"/>
          <w:b w:val="0"/>
          <w:bCs w:val="0"/>
          <w:sz w:val="32"/>
          <w:szCs w:val="32"/>
          <w:highlight w:val="none"/>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val="0"/>
          <w:bCs w:val="0"/>
          <w:sz w:val="32"/>
          <w:szCs w:val="32"/>
          <w:highlight w:val="none"/>
          <w:u w:val="none" w:color="auto"/>
          <w:lang w:val="en-US" w:eastAsia="zh-CN"/>
        </w:rPr>
      </w:pPr>
      <w:r>
        <w:rPr>
          <w:rFonts w:hint="eastAsia" w:ascii="楷体_GB2312" w:hAnsi="楷体_GB2312" w:eastAsia="楷体_GB2312" w:cs="楷体_GB2312"/>
          <w:b/>
          <w:bCs/>
          <w:sz w:val="32"/>
          <w:szCs w:val="32"/>
          <w:highlight w:val="none"/>
          <w:u w:val="none" w:color="auto"/>
          <w:lang w:val="en-US" w:eastAsia="zh-CN"/>
        </w:rPr>
        <w:t>（六）提升公办养老机构失能失智照护能力。</w:t>
      </w:r>
      <w:r>
        <w:rPr>
          <w:rFonts w:hint="eastAsia" w:ascii="仿宋_GB2312" w:hAnsi="仿宋_GB2312" w:eastAsia="仿宋_GB2312" w:cs="仿宋_GB2312"/>
          <w:b w:val="0"/>
          <w:bCs w:val="0"/>
          <w:sz w:val="32"/>
          <w:szCs w:val="32"/>
          <w:highlight w:val="none"/>
          <w:u w:val="none" w:color="auto"/>
          <w:lang w:val="en-US" w:eastAsia="zh-CN"/>
        </w:rPr>
        <w:t>开展老年人能力综合评估，推动实现评估结果互认、按需使用。</w:t>
      </w:r>
      <w:r>
        <w:rPr>
          <w:rFonts w:hint="eastAsia" w:ascii="仿宋_GB2312" w:hAnsi="仿宋_GB2312" w:eastAsia="仿宋_GB2312" w:cs="仿宋_GB2312"/>
          <w:b w:val="0"/>
          <w:bCs w:val="0"/>
          <w:color w:val="auto"/>
          <w:sz w:val="32"/>
          <w:szCs w:val="32"/>
          <w:highlight w:val="none"/>
          <w:u w:val="none" w:color="auto"/>
          <w:lang w:val="en-US" w:eastAsia="zh-CN"/>
        </w:rPr>
        <w:t>在县社会福利中心</w:t>
      </w:r>
      <w:r>
        <w:rPr>
          <w:rFonts w:hint="eastAsia" w:ascii="仿宋_GB2312" w:hAnsi="仿宋_GB2312" w:eastAsia="仿宋_GB2312" w:cs="仿宋_GB2312"/>
          <w:sz w:val="32"/>
          <w:szCs w:val="32"/>
          <w:u w:val="none" w:color="auto"/>
          <w:lang w:val="en-US" w:eastAsia="zh-CN"/>
        </w:rPr>
        <w:t>建成1所失能失智专业照护机构，</w:t>
      </w:r>
      <w:r>
        <w:rPr>
          <w:rFonts w:hint="eastAsia" w:ascii="仿宋_GB2312" w:hAnsi="仿宋_GB2312" w:eastAsia="仿宋_GB2312" w:cs="仿宋_GB2312"/>
          <w:color w:val="auto"/>
          <w:kern w:val="2"/>
          <w:sz w:val="32"/>
          <w:szCs w:val="22"/>
          <w:lang w:val="en-US" w:eastAsia="zh-CN"/>
        </w:rPr>
        <w:t>同时配建医务室、护理站，</w:t>
      </w:r>
      <w:r>
        <w:rPr>
          <w:rFonts w:hint="eastAsia" w:ascii="仿宋_GB2312" w:hAnsi="仿宋_GB2312" w:eastAsia="仿宋_GB2312" w:cs="仿宋_GB2312"/>
          <w:color w:val="auto"/>
          <w:sz w:val="32"/>
          <w:szCs w:val="32"/>
          <w:u w:val="none" w:color="auto"/>
          <w:lang w:val="en-US" w:eastAsia="zh-CN"/>
        </w:rPr>
        <w:t>集中收住区域内有意愿的特困供养失能失智老年人。</w:t>
      </w:r>
      <w:r>
        <w:rPr>
          <w:rFonts w:hint="eastAsia" w:ascii="仿宋_GB2312" w:hAnsi="仿宋_GB2312" w:eastAsia="仿宋_GB2312" w:cs="仿宋_GB2312"/>
          <w:sz w:val="32"/>
          <w:szCs w:val="32"/>
          <w:u w:val="none" w:color="auto"/>
          <w:lang w:val="en-US" w:eastAsia="zh-CN"/>
        </w:rPr>
        <w:t>到2025年底，全县养老机构护理型床位占比达60%以上。</w:t>
      </w:r>
      <w:r>
        <w:rPr>
          <w:rFonts w:hint="eastAsia" w:ascii="华文仿宋" w:hAnsi="华文仿宋" w:eastAsia="华文仿宋" w:cs="华文仿宋"/>
          <w:color w:val="auto"/>
          <w:kern w:val="2"/>
          <w:sz w:val="32"/>
          <w:szCs w:val="44"/>
          <w:u w:val="none"/>
          <w:lang w:val="en-US" w:eastAsia="zh-CN"/>
        </w:rPr>
        <w:t>〔</w:t>
      </w:r>
      <w:r>
        <w:rPr>
          <w:rFonts w:hint="eastAsia" w:ascii="楷体_GB2312" w:hAnsi="楷体_GB2312" w:eastAsia="楷体_GB2312" w:cs="楷体_GB2312"/>
          <w:b w:val="0"/>
          <w:bCs w:val="0"/>
          <w:sz w:val="32"/>
          <w:szCs w:val="32"/>
          <w:highlight w:val="none"/>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发改委、</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财政局、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卫健委、</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医保局</w:t>
      </w:r>
      <w:r>
        <w:rPr>
          <w:rFonts w:hint="eastAsia" w:ascii="华文仿宋" w:hAnsi="华文仿宋" w:eastAsia="华文仿宋" w:cs="华文仿宋"/>
          <w:b w:val="0"/>
          <w:bCs w:val="0"/>
          <w:sz w:val="32"/>
          <w:szCs w:val="32"/>
          <w:highlight w:val="none"/>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val="0"/>
          <w:bCs w:val="0"/>
          <w:color w:val="auto"/>
          <w:sz w:val="32"/>
          <w:szCs w:val="32"/>
          <w:highlight w:val="none"/>
          <w:u w:val="none" w:color="auto"/>
          <w:lang w:val="en-US" w:eastAsia="zh-CN"/>
        </w:rPr>
      </w:pPr>
      <w:r>
        <w:rPr>
          <w:rFonts w:hint="eastAsia" w:ascii="楷体_GB2312" w:hAnsi="楷体_GB2312" w:eastAsia="楷体_GB2312" w:cs="楷体_GB2312"/>
          <w:b/>
          <w:bCs/>
          <w:sz w:val="32"/>
          <w:szCs w:val="32"/>
          <w:highlight w:val="none"/>
          <w:u w:val="none" w:color="auto"/>
          <w:lang w:val="en-US" w:eastAsia="zh-CN"/>
        </w:rPr>
        <w:t>（七）稳妥推进公办养老机构社会化运营。</w:t>
      </w:r>
      <w:r>
        <w:rPr>
          <w:rFonts w:hint="eastAsia" w:ascii="仿宋_GB2312" w:hAnsi="仿宋_GB2312" w:eastAsia="仿宋_GB2312" w:cs="仿宋_GB2312"/>
          <w:b w:val="0"/>
          <w:bCs w:val="0"/>
          <w:sz w:val="32"/>
          <w:szCs w:val="32"/>
          <w:highlight w:val="none"/>
          <w:u w:val="none" w:color="auto"/>
          <w:lang w:val="en-US" w:eastAsia="zh-CN"/>
        </w:rPr>
        <w:t>采取“公建公营、公建企营、公建民营、民建公助”等模式，多种形式推进社会化运营。</w:t>
      </w:r>
      <w:r>
        <w:rPr>
          <w:rFonts w:hint="eastAsia" w:ascii="仿宋_GB2312" w:hAnsi="仿宋_GB2312" w:eastAsia="仿宋_GB2312" w:cs="仿宋_GB2312"/>
          <w:sz w:val="32"/>
          <w:szCs w:val="32"/>
          <w:u w:val="none" w:color="auto"/>
          <w:lang w:val="en-US" w:eastAsia="zh-CN"/>
        </w:rPr>
        <w:t>明确</w:t>
      </w:r>
      <w:r>
        <w:rPr>
          <w:rFonts w:hint="eastAsia" w:ascii="仿宋_GB2312" w:hAnsi="仿宋_GB2312" w:eastAsia="仿宋_GB2312" w:cs="仿宋_GB2312"/>
          <w:b w:val="0"/>
          <w:bCs w:val="0"/>
          <w:sz w:val="32"/>
          <w:szCs w:val="32"/>
          <w:highlight w:val="none"/>
          <w:u w:val="none" w:color="auto"/>
          <w:lang w:val="en-US" w:eastAsia="zh-CN"/>
        </w:rPr>
        <w:t>公办养老机构</w:t>
      </w:r>
      <w:r>
        <w:rPr>
          <w:rFonts w:hint="eastAsia" w:ascii="仿宋_GB2312" w:hAnsi="仿宋_GB2312" w:eastAsia="仿宋_GB2312" w:cs="仿宋_GB2312"/>
          <w:sz w:val="32"/>
          <w:szCs w:val="32"/>
          <w:u w:val="none" w:color="auto"/>
          <w:lang w:val="en-US" w:eastAsia="zh-CN"/>
        </w:rPr>
        <w:t>在养老服务中承担兜底线、保基本的重要职责，在</w:t>
      </w:r>
      <w:r>
        <w:rPr>
          <w:rFonts w:hint="eastAsia" w:ascii="仿宋_GB2312" w:hAnsi="仿宋_GB2312" w:eastAsia="仿宋_GB2312" w:cs="仿宋_GB2312"/>
          <w:color w:val="auto"/>
          <w:kern w:val="2"/>
          <w:sz w:val="32"/>
          <w:szCs w:val="22"/>
          <w:u w:val="none" w:color="auto"/>
          <w:lang w:val="en-US" w:eastAsia="zh-CN"/>
        </w:rPr>
        <w:t>确保有集中供养意愿的特困老年人全部实现集中供养的基础上</w:t>
      </w:r>
      <w:r>
        <w:rPr>
          <w:rFonts w:hint="eastAsia" w:ascii="仿宋_GB2312" w:hAnsi="仿宋_GB2312" w:eastAsia="仿宋_GB2312" w:cs="仿宋_GB2312"/>
          <w:sz w:val="32"/>
          <w:szCs w:val="32"/>
          <w:u w:val="none" w:color="auto"/>
          <w:lang w:val="en-US" w:eastAsia="zh-CN"/>
        </w:rPr>
        <w:t>，探索通过</w:t>
      </w:r>
      <w:r>
        <w:rPr>
          <w:rFonts w:hint="eastAsia" w:ascii="仿宋_GB2312" w:hAnsi="仿宋_GB2312" w:eastAsia="仿宋_GB2312" w:cs="仿宋_GB2312"/>
          <w:sz w:val="32"/>
          <w:szCs w:val="32"/>
          <w:highlight w:val="none"/>
          <w:u w:val="none" w:color="auto"/>
          <w:lang w:val="en-US" w:eastAsia="zh-CN"/>
        </w:rPr>
        <w:t>有效</w:t>
      </w:r>
      <w:r>
        <w:rPr>
          <w:rFonts w:hint="eastAsia" w:ascii="仿宋_GB2312" w:hAnsi="仿宋_GB2312" w:eastAsia="仿宋_GB2312" w:cs="仿宋_GB2312"/>
          <w:sz w:val="32"/>
          <w:szCs w:val="32"/>
          <w:u w:val="none" w:color="auto"/>
          <w:lang w:val="en-US" w:eastAsia="zh-CN"/>
        </w:rPr>
        <w:t>形式，将剩余床位向社会开放。实行公建民营的养老机构可通过承担政府购买服务的方式，积极向</w:t>
      </w:r>
      <w:r>
        <w:rPr>
          <w:rFonts w:hint="eastAsia" w:ascii="仿宋_GB2312" w:hAnsi="仿宋_GB2312" w:eastAsia="仿宋_GB2312" w:cs="仿宋_GB2312"/>
          <w:sz w:val="32"/>
          <w:szCs w:val="32"/>
          <w:highlight w:val="none"/>
          <w:u w:val="none" w:color="auto"/>
          <w:lang w:val="en-US" w:eastAsia="zh-CN"/>
        </w:rPr>
        <w:t>分散供养人员</w:t>
      </w:r>
      <w:r>
        <w:rPr>
          <w:rFonts w:hint="eastAsia" w:ascii="仿宋_GB2312" w:hAnsi="仿宋_GB2312" w:eastAsia="仿宋_GB2312" w:cs="仿宋_GB2312"/>
          <w:sz w:val="32"/>
          <w:szCs w:val="32"/>
          <w:u w:val="none" w:color="auto"/>
          <w:lang w:val="en-US" w:eastAsia="zh-CN"/>
        </w:rPr>
        <w:t>和周边老年人提供短期托养、日间照料、家庭养老床位以及助餐、助浴、助洁、助急、助医等养老延伸服务。</w:t>
      </w:r>
      <w:r>
        <w:rPr>
          <w:rFonts w:hint="eastAsia" w:ascii="华文仿宋" w:hAnsi="华文仿宋" w:eastAsia="华文仿宋" w:cs="华文仿宋"/>
          <w:color w:val="auto"/>
          <w:kern w:val="2"/>
          <w:sz w:val="32"/>
          <w:szCs w:val="44"/>
          <w:u w:val="none"/>
          <w:lang w:val="en-US" w:eastAsia="zh-CN"/>
        </w:rPr>
        <w:t>〔</w:t>
      </w:r>
      <w:r>
        <w:rPr>
          <w:rFonts w:hint="eastAsia" w:ascii="楷体_GB2312" w:hAnsi="楷体_GB2312" w:eastAsia="楷体_GB2312" w:cs="楷体_GB2312"/>
          <w:b w:val="0"/>
          <w:bCs w:val="0"/>
          <w:color w:val="auto"/>
          <w:sz w:val="32"/>
          <w:szCs w:val="32"/>
          <w:highlight w:val="none"/>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color w:val="auto"/>
          <w:sz w:val="32"/>
          <w:szCs w:val="32"/>
          <w:highlight w:val="none"/>
          <w:u w:val="none" w:color="auto"/>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color w:val="auto"/>
          <w:sz w:val="32"/>
          <w:szCs w:val="32"/>
          <w:highlight w:val="none"/>
          <w:u w:val="none" w:color="auto"/>
          <w:lang w:val="en-US" w:eastAsia="zh-CN"/>
        </w:rPr>
        <w:t>发改委、</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color w:val="auto"/>
          <w:sz w:val="32"/>
          <w:szCs w:val="32"/>
          <w:highlight w:val="none"/>
          <w:u w:val="none" w:color="auto"/>
          <w:lang w:val="en-US" w:eastAsia="zh-CN"/>
        </w:rPr>
        <w:t>财政局、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color w:val="auto"/>
          <w:sz w:val="32"/>
          <w:szCs w:val="32"/>
          <w:highlight w:val="none"/>
          <w:u w:val="none" w:color="auto"/>
          <w:lang w:val="en-US" w:eastAsia="zh-CN"/>
        </w:rPr>
        <w:t>人社局</w:t>
      </w:r>
      <w:r>
        <w:rPr>
          <w:rFonts w:hint="eastAsia" w:ascii="华文仿宋" w:hAnsi="华文仿宋" w:eastAsia="华文仿宋" w:cs="华文仿宋"/>
          <w:b w:val="0"/>
          <w:bCs w:val="0"/>
          <w:color w:val="auto"/>
          <w:sz w:val="32"/>
          <w:szCs w:val="32"/>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黑体" w:hAnsi="黑体" w:eastAsia="黑体" w:cs="黑体"/>
          <w:b/>
          <w:bCs/>
          <w:lang w:val="en-US" w:eastAsia="zh-CN"/>
        </w:rPr>
      </w:pPr>
      <w:r>
        <w:rPr>
          <w:rFonts w:hint="eastAsia" w:ascii="黑体" w:hAnsi="黑体" w:eastAsia="黑体" w:cs="黑体"/>
          <w:b/>
          <w:bCs/>
          <w:sz w:val="32"/>
          <w:szCs w:val="32"/>
          <w:highlight w:val="none"/>
          <w:u w:val="none" w:color="auto"/>
          <w:lang w:val="en-US" w:eastAsia="zh-CN"/>
        </w:rPr>
        <w:t>三、支持社会力量扩大养老服务供给</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color w:val="auto"/>
          <w:lang w:val="en-US" w:eastAsia="zh-CN"/>
        </w:rPr>
      </w:pPr>
      <w:r>
        <w:rPr>
          <w:rFonts w:hint="eastAsia" w:ascii="楷体_GB2312" w:hAnsi="楷体_GB2312" w:eastAsia="楷体_GB2312" w:cs="楷体_GB2312"/>
          <w:b/>
          <w:bCs/>
          <w:sz w:val="32"/>
          <w:szCs w:val="32"/>
          <w:lang w:val="en-US" w:eastAsia="zh-CN"/>
        </w:rPr>
        <w:t>（八）建设面向社会大众的普惠性养老机构。</w:t>
      </w:r>
      <w:r>
        <w:rPr>
          <w:rFonts w:hint="eastAsia" w:ascii="仿宋_GB2312" w:hAnsi="仿宋_GB2312" w:eastAsia="仿宋_GB2312" w:cs="仿宋_GB2312"/>
          <w:color w:val="auto"/>
          <w:kern w:val="2"/>
          <w:sz w:val="32"/>
          <w:szCs w:val="22"/>
          <w:lang w:val="en-US" w:eastAsia="zh-CN"/>
        </w:rPr>
        <w:t>落实土地、规划和报批建设、财政补贴等支持政策，开展普惠养老专项再贷款试点，激发社会资本参与养老服务积极性，支持符合条件的普惠养老项目申请中央预算内投资，开展普惠养老机构签约工作，推动建设一批方便可及、价格可接受、质量有保障的养老服务机构。鼓励国有养老服务企业建设运营普惠性养老服务机构，推动党政机关、国有企事业单位所属培训疗养机构转型为普惠养老服务设施，提升国有经济对养老服务体系的支持能力。</w:t>
      </w:r>
      <w:r>
        <w:rPr>
          <w:rFonts w:hint="eastAsia" w:ascii="华文仿宋" w:hAnsi="华文仿宋" w:eastAsia="华文仿宋" w:cs="华文仿宋"/>
          <w:color w:val="auto"/>
          <w:kern w:val="2"/>
          <w:sz w:val="32"/>
          <w:szCs w:val="22"/>
          <w:lang w:val="en-US" w:eastAsia="zh-CN"/>
        </w:rPr>
        <w:t>〔</w:t>
      </w:r>
      <w:r>
        <w:rPr>
          <w:rFonts w:hint="eastAsia" w:ascii="楷体_GB2312" w:hAnsi="楷体_GB2312" w:eastAsia="楷体_GB2312" w:cs="楷体_GB2312"/>
          <w:color w:val="auto"/>
          <w:kern w:val="2"/>
          <w:sz w:val="32"/>
          <w:szCs w:val="44"/>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color w:val="auto"/>
          <w:kern w:val="2"/>
          <w:sz w:val="32"/>
          <w:szCs w:val="44"/>
          <w:u w:val="none" w:color="auto"/>
          <w:lang w:val="en-US" w:eastAsia="zh-CN"/>
        </w:rPr>
        <w:t>发改委、人民银行铅山支行、</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color w:val="auto"/>
          <w:kern w:val="2"/>
          <w:sz w:val="32"/>
          <w:szCs w:val="44"/>
          <w:u w:val="none" w:color="auto"/>
          <w:lang w:val="en-US" w:eastAsia="zh-CN"/>
        </w:rPr>
        <w:t>民政局、县财政局、</w:t>
      </w:r>
      <w:r>
        <w:rPr>
          <w:rFonts w:hint="eastAsia" w:ascii="楷体_GB2312" w:hAnsi="楷体_GB2312" w:eastAsia="楷体_GB2312" w:cs="楷体_GB2312"/>
          <w:color w:val="auto"/>
          <w:kern w:val="2"/>
          <w:sz w:val="32"/>
          <w:szCs w:val="44"/>
          <w:lang w:val="en-US" w:eastAsia="zh-CN"/>
        </w:rPr>
        <w:t>县</w:t>
      </w:r>
      <w:r>
        <w:rPr>
          <w:rFonts w:hint="default" w:ascii="楷体_GB2312" w:hAnsi="楷体_GB2312" w:eastAsia="楷体_GB2312" w:cs="楷体_GB2312"/>
          <w:color w:val="auto"/>
          <w:kern w:val="2"/>
          <w:sz w:val="32"/>
          <w:szCs w:val="44"/>
          <w:u w:val="none" w:color="auto"/>
          <w:lang w:val="en" w:eastAsia="zh-CN"/>
        </w:rPr>
        <w:t>国资</w:t>
      </w:r>
      <w:r>
        <w:rPr>
          <w:rFonts w:hint="eastAsia" w:ascii="楷体_GB2312" w:hAnsi="楷体_GB2312" w:eastAsia="楷体_GB2312" w:cs="楷体_GB2312"/>
          <w:color w:val="auto"/>
          <w:kern w:val="2"/>
          <w:sz w:val="32"/>
          <w:szCs w:val="44"/>
          <w:u w:val="none" w:color="auto"/>
          <w:lang w:val="en" w:eastAsia="zh-CN"/>
        </w:rPr>
        <w:t>办</w:t>
      </w:r>
      <w:r>
        <w:rPr>
          <w:rFonts w:hint="eastAsia" w:ascii="华文仿宋" w:hAnsi="华文仿宋" w:eastAsia="华文仿宋" w:cs="华文仿宋"/>
          <w:color w:val="auto"/>
          <w:kern w:val="2"/>
          <w:sz w:val="32"/>
          <w:szCs w:val="44"/>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b/>
          <w:bCs/>
          <w:color w:val="auto"/>
          <w:sz w:val="32"/>
          <w:szCs w:val="32"/>
          <w:lang w:val="en-US" w:eastAsia="zh-CN"/>
        </w:rPr>
        <w:t>（九）培育发展社会化养老服务机构。</w:t>
      </w:r>
      <w:r>
        <w:rPr>
          <w:rFonts w:hint="eastAsia" w:ascii="仿宋_GB2312" w:hAnsi="仿宋_GB2312" w:eastAsia="仿宋_GB2312" w:cs="仿宋_GB2312"/>
          <w:color w:val="auto"/>
          <w:kern w:val="2"/>
          <w:sz w:val="32"/>
          <w:szCs w:val="22"/>
          <w:lang w:val="en-US" w:eastAsia="zh-CN"/>
        </w:rPr>
        <w:t>加大融资信贷支持，支持符合条件的养老机构申请“财园信贷通”贷款支持。</w:t>
      </w:r>
      <w:r>
        <w:rPr>
          <w:rFonts w:hint="eastAsia" w:ascii="仿宋_GB2312" w:hAnsi="仿宋_GB2312" w:eastAsia="仿宋_GB2312" w:cs="仿宋_GB2312"/>
          <w:sz w:val="32"/>
          <w:szCs w:val="32"/>
          <w:lang w:val="en-US" w:eastAsia="zh-CN"/>
        </w:rPr>
        <w:t>按照政策标准落实对民办养老机构一次性建设补贴和运营补贴。通过补贴保险费等方式，支持养老机构投保综合责任险。</w:t>
      </w:r>
      <w:r>
        <w:rPr>
          <w:rFonts w:hint="eastAsia" w:ascii="华文仿宋" w:hAnsi="华文仿宋" w:eastAsia="华文仿宋" w:cs="华文仿宋"/>
          <w:color w:val="000000"/>
          <w:sz w:val="32"/>
          <w:szCs w:val="32"/>
          <w:highlight w:val="none"/>
          <w:u w:val="none"/>
          <w:lang w:val="en-US" w:eastAsia="zh-CN"/>
        </w:rPr>
        <w:t>〔</w:t>
      </w:r>
      <w:r>
        <w:rPr>
          <w:rFonts w:hint="eastAsia" w:ascii="楷体_GB2312" w:hAnsi="楷体_GB2312" w:eastAsia="楷体_GB2312" w:cs="楷体_GB2312"/>
          <w:sz w:val="32"/>
          <w:szCs w:val="32"/>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lang w:val="en-US" w:eastAsia="zh-CN"/>
        </w:rPr>
        <w:t>财政局、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lang w:val="en-US" w:eastAsia="zh-CN"/>
        </w:rPr>
        <w:t>发改委、</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lang w:val="en-US" w:eastAsia="zh-CN"/>
        </w:rPr>
        <w:t>自然资源局</w:t>
      </w:r>
      <w:r>
        <w:rPr>
          <w:rFonts w:hint="eastAsia" w:ascii="华文仿宋" w:hAnsi="华文仿宋" w:eastAsia="华文仿宋" w:cs="华文仿宋"/>
          <w:sz w:val="32"/>
          <w:szCs w:val="32"/>
          <w:lang w:val="en-US" w:eastAsia="zh-CN"/>
        </w:rPr>
        <w:t>〕</w:t>
      </w:r>
    </w:p>
    <w:p>
      <w:pPr>
        <w:pStyle w:val="8"/>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四、推动养老服务专业化发展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color w:val="auto"/>
          <w:kern w:val="2"/>
          <w:sz w:val="32"/>
          <w:szCs w:val="22"/>
          <w:u w:val="single"/>
          <w:lang w:val="en-US" w:eastAsia="zh-CN"/>
        </w:rPr>
      </w:pPr>
      <w:r>
        <w:rPr>
          <w:rFonts w:hint="eastAsia" w:ascii="楷体_GB2312" w:hAnsi="楷体_GB2312" w:eastAsia="楷体_GB2312" w:cs="楷体_GB2312"/>
          <w:b/>
          <w:bCs/>
          <w:sz w:val="32"/>
          <w:szCs w:val="32"/>
          <w:lang w:val="en-US" w:eastAsia="zh-CN"/>
        </w:rPr>
        <w:t>（十）</w:t>
      </w:r>
      <w:r>
        <w:rPr>
          <w:rFonts w:hint="eastAsia" w:ascii="楷体_GB2312" w:hAnsi="楷体_GB2312" w:eastAsia="楷体_GB2312" w:cs="楷体_GB2312"/>
          <w:b/>
          <w:bCs/>
          <w:color w:val="auto"/>
          <w:sz w:val="32"/>
          <w:szCs w:val="32"/>
          <w:lang w:val="en-US" w:eastAsia="zh-CN"/>
        </w:rPr>
        <w:t>深入推进医养结合。</w:t>
      </w:r>
      <w:r>
        <w:rPr>
          <w:rFonts w:hint="eastAsia" w:ascii="仿宋_GB2312" w:hAnsi="仿宋_GB2312" w:eastAsia="仿宋_GB2312" w:cs="仿宋_GB2312"/>
          <w:color w:val="auto"/>
          <w:kern w:val="2"/>
          <w:sz w:val="32"/>
          <w:szCs w:val="22"/>
          <w:lang w:val="en-US" w:eastAsia="zh-CN"/>
        </w:rPr>
        <w:t>支持养老机构设置医疗机构，有条件的乡镇敬老院、社区嵌入式养老院等根据实际情况设置医疗机构，将符合医保准入条件的纳入基本医疗保险定点管理。</w:t>
      </w:r>
      <w:r>
        <w:rPr>
          <w:rFonts w:hint="eastAsia" w:ascii="仿宋_GB2312" w:hAnsi="仿宋_GB2312" w:eastAsia="仿宋_GB2312" w:cs="仿宋_GB2312"/>
          <w:color w:val="auto"/>
          <w:kern w:val="2"/>
          <w:sz w:val="32"/>
          <w:szCs w:val="22"/>
          <w:u w:val="none"/>
          <w:lang w:val="en-US" w:eastAsia="zh-CN"/>
        </w:rPr>
        <w:t>积极发挥长护险试点作用，进一步细化失能评估标准，评估结果各部门共享；将符合条件的养老机构按规定纳入长护险定点护理服务机构。支持医疗机构依法依规在养老</w:t>
      </w:r>
      <w:r>
        <w:rPr>
          <w:rFonts w:hint="eastAsia" w:ascii="仿宋_GB2312" w:hAnsi="仿宋_GB2312" w:eastAsia="仿宋_GB2312" w:cs="仿宋_GB2312"/>
          <w:color w:val="auto"/>
          <w:kern w:val="2"/>
          <w:sz w:val="32"/>
          <w:szCs w:val="22"/>
          <w:lang w:val="en-US" w:eastAsia="zh-CN"/>
        </w:rPr>
        <w:t>机构设立医疗服务站点，具备法人资格的医疗机构可通过变更登记事项或经营范围开展养老服务。整合优化医疗卫生和养老资源，建立健全养老机构与医疗机构业务协作机制，开展签约合作，开通预约就诊、急诊急救等绿色通道。推动医疗卫生服务支持老年人医疗照护、家庭病床、居家护理等服务。</w:t>
      </w:r>
      <w:r>
        <w:rPr>
          <w:rFonts w:hint="eastAsia" w:ascii="华文仿宋" w:hAnsi="华文仿宋" w:eastAsia="华文仿宋" w:cs="华文仿宋"/>
          <w:color w:val="auto"/>
          <w:kern w:val="2"/>
          <w:sz w:val="32"/>
          <w:szCs w:val="22"/>
          <w:lang w:val="en-US" w:eastAsia="zh-CN"/>
        </w:rPr>
        <w:t>〔</w:t>
      </w:r>
      <w:r>
        <w:rPr>
          <w:rFonts w:hint="eastAsia" w:ascii="楷体_GB2312" w:hAnsi="楷体_GB2312" w:eastAsia="楷体_GB2312" w:cs="楷体_GB2312"/>
          <w:b w:val="0"/>
          <w:bCs w:val="0"/>
          <w:sz w:val="32"/>
          <w:szCs w:val="32"/>
          <w:highlight w:val="none"/>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卫健委、</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医保局</w:t>
      </w:r>
      <w:r>
        <w:rPr>
          <w:rFonts w:hint="eastAsia" w:ascii="华文仿宋" w:hAnsi="华文仿宋" w:eastAsia="华文仿宋" w:cs="华文仿宋"/>
          <w:b w:val="0"/>
          <w:bCs w:val="0"/>
          <w:sz w:val="32"/>
          <w:szCs w:val="32"/>
          <w:highlight w:val="none"/>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val="0"/>
          <w:bCs w:val="0"/>
          <w:sz w:val="32"/>
          <w:szCs w:val="32"/>
          <w:highlight w:val="none"/>
          <w:u w:val="none" w:color="auto"/>
          <w:lang w:val="en-US" w:eastAsia="zh-CN"/>
        </w:rPr>
      </w:pPr>
      <w:r>
        <w:rPr>
          <w:rFonts w:hint="eastAsia" w:ascii="楷体_GB2312" w:hAnsi="楷体_GB2312" w:eastAsia="楷体_GB2312" w:cs="楷体_GB2312"/>
          <w:b/>
          <w:bCs/>
          <w:sz w:val="32"/>
          <w:szCs w:val="32"/>
          <w:lang w:val="en-US" w:eastAsia="zh-CN"/>
        </w:rPr>
        <w:t>（十一）</w:t>
      </w:r>
      <w:r>
        <w:rPr>
          <w:rFonts w:hint="eastAsia" w:ascii="楷体_GB2312" w:hAnsi="楷体_GB2312" w:eastAsia="楷体_GB2312" w:cs="楷体_GB2312"/>
          <w:b/>
          <w:bCs/>
          <w:color w:val="auto"/>
          <w:sz w:val="32"/>
          <w:szCs w:val="32"/>
          <w:lang w:val="en-US" w:eastAsia="zh-CN"/>
        </w:rPr>
        <w:t>提升养老服务监管效能。</w:t>
      </w:r>
      <w:r>
        <w:rPr>
          <w:rFonts w:hint="eastAsia" w:ascii="仿宋_GB2312" w:hAnsi="仿宋_GB2312" w:eastAsia="仿宋_GB2312" w:cs="仿宋_GB2312"/>
          <w:color w:val="auto"/>
          <w:kern w:val="2"/>
          <w:sz w:val="32"/>
          <w:szCs w:val="22"/>
          <w:u w:val="none" w:color="auto"/>
          <w:lang w:val="en-US" w:eastAsia="zh-CN"/>
        </w:rPr>
        <w:t>加强养老机构预付费管理，常态化开展养老服务领域非法集资风险防范，依托公安部门“涉众性经济犯罪预警研判系统”，建立民办养老机构银行账户信息监管共享机制。推动健全跨部门协同监管机制，开展建筑、消防、食品、医疗卫生、特种设备、卫生防疫、服务质量等风险隐患排查整治，定期开展“双随机、一公开”检查。全面建立养老机构入院评估、服务协议、风险告知制度和纠纷协商调解机制，依法惩处欺老虐老行为，保障老年人权益。</w:t>
      </w:r>
      <w:r>
        <w:rPr>
          <w:rFonts w:hint="eastAsia" w:ascii="华文仿宋" w:hAnsi="华文仿宋" w:eastAsia="华文仿宋" w:cs="华文仿宋"/>
          <w:color w:val="auto"/>
          <w:kern w:val="2"/>
          <w:sz w:val="32"/>
          <w:szCs w:val="22"/>
          <w:u w:val="none" w:color="auto"/>
          <w:lang w:val="en-US" w:eastAsia="zh-CN"/>
        </w:rPr>
        <w:t>〔</w:t>
      </w:r>
      <w:r>
        <w:rPr>
          <w:rFonts w:hint="eastAsia" w:ascii="楷体_GB2312" w:hAnsi="楷体_GB2312" w:eastAsia="楷体_GB2312" w:cs="楷体_GB2312"/>
          <w:b w:val="0"/>
          <w:bCs w:val="0"/>
          <w:sz w:val="32"/>
          <w:szCs w:val="32"/>
          <w:highlight w:val="none"/>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住建局、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卫健委、</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公安局、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金融办、</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市场监管局、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医保局</w:t>
      </w:r>
      <w:r>
        <w:rPr>
          <w:rFonts w:hint="eastAsia" w:ascii="华文仿宋" w:hAnsi="华文仿宋" w:eastAsia="华文仿宋" w:cs="华文仿宋"/>
          <w:b w:val="0"/>
          <w:bCs w:val="0"/>
          <w:sz w:val="32"/>
          <w:szCs w:val="32"/>
          <w:highlight w:val="none"/>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val="0"/>
          <w:bCs w:val="0"/>
          <w:sz w:val="32"/>
          <w:szCs w:val="32"/>
          <w:highlight w:val="none"/>
          <w:u w:val="none" w:color="auto"/>
          <w:lang w:val="en-US" w:eastAsia="zh-CN"/>
        </w:rPr>
      </w:pPr>
      <w:r>
        <w:rPr>
          <w:rFonts w:hint="eastAsia" w:ascii="楷体_GB2312" w:hAnsi="楷体_GB2312" w:eastAsia="楷体_GB2312" w:cs="楷体_GB2312"/>
          <w:b/>
          <w:bCs/>
          <w:sz w:val="32"/>
          <w:szCs w:val="32"/>
          <w:lang w:val="en-US" w:eastAsia="zh-CN"/>
        </w:rPr>
        <w:t>（十二）</w:t>
      </w:r>
      <w:r>
        <w:rPr>
          <w:rFonts w:hint="eastAsia" w:ascii="楷体_GB2312" w:hAnsi="楷体_GB2312" w:eastAsia="楷体_GB2312" w:cs="楷体_GB2312"/>
          <w:b/>
          <w:bCs/>
          <w:color w:val="auto"/>
          <w:sz w:val="32"/>
          <w:szCs w:val="32"/>
          <w:lang w:val="en-US" w:eastAsia="zh-CN"/>
        </w:rPr>
        <w:t>开展养老机构等级评定。</w:t>
      </w:r>
      <w:r>
        <w:rPr>
          <w:rFonts w:hint="eastAsia" w:ascii="仿宋_GB2312" w:hAnsi="仿宋_GB2312" w:eastAsia="仿宋_GB2312" w:cs="仿宋_GB2312"/>
          <w:sz w:val="32"/>
          <w:szCs w:val="32"/>
          <w:u w:val="none" w:color="auto"/>
          <w:lang w:val="en-US" w:eastAsia="zh-CN"/>
        </w:rPr>
        <w:t>常态化开展养老机构等级评定工作。到2023底，县中心敬老院达到二级或三级等级标准，60%以上的乡镇敬老院达到一级或二级等级标准；到2025年，评定为一级至二级的乡镇公办养老机构达到80%以上。</w:t>
      </w:r>
      <w:r>
        <w:rPr>
          <w:rFonts w:hint="eastAsia" w:ascii="仿宋_GB2312" w:hAnsi="仿宋_GB2312" w:eastAsia="仿宋_GB2312" w:cs="仿宋_GB2312"/>
          <w:color w:val="auto"/>
          <w:sz w:val="32"/>
          <w:szCs w:val="32"/>
          <w:u w:val="none" w:color="auto"/>
          <w:lang w:val="en-US" w:eastAsia="zh-CN"/>
        </w:rPr>
        <w:t>鼓励民办养老机构参与等级评定，</w:t>
      </w:r>
      <w:r>
        <w:rPr>
          <w:rFonts w:hint="eastAsia" w:ascii="仿宋_GB2312" w:hAnsi="仿宋_GB2312" w:eastAsia="仿宋_GB2312" w:cs="仿宋_GB2312"/>
          <w:color w:val="auto"/>
          <w:sz w:val="32"/>
          <w:szCs w:val="32"/>
          <w:highlight w:val="none"/>
          <w:u w:val="none" w:color="auto"/>
          <w:lang w:val="en-US" w:eastAsia="zh-CN"/>
        </w:rPr>
        <w:t>对民办养老机构参与等级评定获评二级到五级的，分别给予5万元、10万元、20万元、30万元资金奖补。</w:t>
      </w:r>
      <w:r>
        <w:rPr>
          <w:rFonts w:hint="eastAsia" w:ascii="华文仿宋" w:hAnsi="华文仿宋" w:eastAsia="华文仿宋" w:cs="华文仿宋"/>
          <w:color w:val="auto"/>
          <w:sz w:val="32"/>
          <w:szCs w:val="32"/>
          <w:highlight w:val="none"/>
          <w:u w:val="none" w:color="auto"/>
          <w:lang w:val="en-US" w:eastAsia="zh-CN"/>
        </w:rPr>
        <w:t>〔</w:t>
      </w:r>
      <w:r>
        <w:rPr>
          <w:rFonts w:hint="eastAsia" w:ascii="楷体_GB2312" w:hAnsi="楷体_GB2312" w:eastAsia="楷体_GB2312" w:cs="楷体_GB2312"/>
          <w:b w:val="0"/>
          <w:bCs w:val="0"/>
          <w:sz w:val="32"/>
          <w:szCs w:val="32"/>
          <w:highlight w:val="none"/>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财政局、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市场监管局</w:t>
      </w:r>
      <w:r>
        <w:rPr>
          <w:rFonts w:hint="eastAsia" w:ascii="华文仿宋" w:hAnsi="华文仿宋" w:eastAsia="华文仿宋" w:cs="华文仿宋"/>
          <w:b w:val="0"/>
          <w:bCs w:val="0"/>
          <w:sz w:val="32"/>
          <w:szCs w:val="32"/>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b/>
          <w:bCs/>
          <w:sz w:val="32"/>
          <w:szCs w:val="32"/>
          <w:highlight w:val="none"/>
          <w:u w:val="none"/>
          <w:lang w:val="en-US" w:eastAsia="zh-CN"/>
        </w:rPr>
        <w:t>（十三）发展智慧养老服务。</w:t>
      </w:r>
      <w:r>
        <w:rPr>
          <w:rFonts w:hint="eastAsia" w:ascii="仿宋_GB2312" w:hAnsi="仿宋_GB2312" w:eastAsia="仿宋_GB2312" w:cs="仿宋_GB2312"/>
          <w:sz w:val="32"/>
          <w:szCs w:val="32"/>
          <w:u w:val="none"/>
          <w:lang w:val="en-US" w:eastAsia="zh-CN"/>
        </w:rPr>
        <w:t>依托省级智慧养老平台，加快县智慧养老服务项目建设。建立老年人能力评估数据库，挖掘老年人养老服务需求，实现“人找服务”到“服务找人”转变。</w:t>
      </w:r>
      <w:r>
        <w:rPr>
          <w:rFonts w:hint="eastAsia" w:ascii="华文仿宋" w:hAnsi="华文仿宋" w:eastAsia="华文仿宋" w:cs="华文仿宋"/>
          <w:sz w:val="32"/>
          <w:szCs w:val="32"/>
          <w:u w:val="none"/>
          <w:lang w:val="en-US" w:eastAsia="zh-CN"/>
        </w:rPr>
        <w:t>〔</w:t>
      </w:r>
      <w:r>
        <w:rPr>
          <w:rFonts w:hint="eastAsia" w:ascii="楷体_GB2312" w:hAnsi="楷体_GB2312" w:eastAsia="楷体_GB2312" w:cs="楷体_GB2312"/>
          <w:sz w:val="32"/>
          <w:szCs w:val="32"/>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lang w:val="en-US" w:eastAsia="zh-CN"/>
        </w:rPr>
        <w:t>民政局、</w:t>
      </w:r>
      <w:r>
        <w:rPr>
          <w:rFonts w:hint="eastAsia" w:ascii="楷体_GB2312" w:hAnsi="楷体_GB2312" w:eastAsia="楷体_GB2312" w:cs="楷体_GB2312"/>
          <w:color w:val="000000" w:themeColor="text1"/>
          <w:kern w:val="2"/>
          <w:sz w:val="32"/>
          <w:szCs w:val="44"/>
          <w:lang w:val="en-US" w:eastAsia="zh-CN"/>
          <w14:textFill>
            <w14:solidFill>
              <w14:schemeClr w14:val="tx1"/>
            </w14:solidFill>
          </w14:textFill>
        </w:rPr>
        <w:t>县政务服务和</w:t>
      </w: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大数据管理局、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lang w:val="en-US" w:eastAsia="zh-CN"/>
        </w:rPr>
        <w:t>医保局</w:t>
      </w:r>
      <w:r>
        <w:rPr>
          <w:rFonts w:hint="eastAsia" w:ascii="华文仿宋" w:hAnsi="华文仿宋" w:eastAsia="华文仿宋" w:cs="华文仿宋"/>
          <w:sz w:val="32"/>
          <w:szCs w:val="32"/>
          <w:lang w:val="en-US" w:eastAsia="zh-CN"/>
        </w:rPr>
        <w:t>〕</w:t>
      </w:r>
    </w:p>
    <w:p>
      <w:pPr>
        <w:pStyle w:val="8"/>
        <w:pageBreakBefore w:val="0"/>
        <w:widowControl w:val="0"/>
        <w:kinsoku/>
        <w:overflowPunct/>
        <w:topLinePunct w:val="0"/>
        <w:autoSpaceDE/>
        <w:autoSpaceDN/>
        <w:bidi w:val="0"/>
        <w:adjustRightInd/>
        <w:snapToGrid/>
        <w:spacing w:line="560" w:lineRule="exact"/>
        <w:ind w:left="0" w:leftChars="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五、加强养老服务要素支撑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楷体_GB2312" w:hAnsi="楷体_GB2312" w:eastAsia="楷体_GB2312" w:cs="楷体_GB2312"/>
          <w:b w:val="0"/>
          <w:bCs w:val="0"/>
          <w:sz w:val="32"/>
          <w:szCs w:val="32"/>
          <w:highlight w:val="none"/>
          <w:u w:val="none" w:color="auto"/>
          <w:lang w:val="en-US" w:eastAsia="zh-CN"/>
        </w:rPr>
      </w:pPr>
      <w:r>
        <w:rPr>
          <w:rFonts w:hint="eastAsia" w:ascii="楷体_GB2312" w:hAnsi="楷体_GB2312" w:eastAsia="楷体_GB2312" w:cs="楷体_GB2312"/>
          <w:b/>
          <w:bCs/>
          <w:sz w:val="32"/>
          <w:szCs w:val="32"/>
          <w:lang w:val="en-US" w:eastAsia="zh-CN"/>
        </w:rPr>
        <w:t>（十四）强化组织领导。</w:t>
      </w:r>
      <w:r>
        <w:rPr>
          <w:rFonts w:hint="eastAsia" w:ascii="仿宋_GB2312" w:hAnsi="仿宋_GB2312" w:eastAsia="仿宋_GB2312" w:cs="仿宋_GB2312"/>
          <w:color w:val="auto"/>
          <w:kern w:val="2"/>
          <w:sz w:val="32"/>
          <w:szCs w:val="22"/>
          <w:u w:val="none" w:color="auto"/>
          <w:lang w:val="en-US" w:eastAsia="zh-CN"/>
        </w:rPr>
        <w:t>健全党委领导、政府主导、部门负责、社会参与的工作机制，切实加强老龄工作委员会统筹作用，</w:t>
      </w:r>
      <w:r>
        <w:rPr>
          <w:rFonts w:hint="eastAsia" w:ascii="仿宋_GB2312" w:hAnsi="仿宋_GB2312" w:eastAsia="仿宋_GB2312" w:cs="仿宋_GB2312"/>
          <w:sz w:val="32"/>
          <w:szCs w:val="32"/>
          <w:u w:val="none" w:color="auto"/>
          <w:lang w:val="en-US" w:eastAsia="zh-CN"/>
        </w:rPr>
        <w:t>加强对跟踪调度，制定工作要点，定期通报进展情况，对进度滞后的进行工作提示和督办。</w:t>
      </w:r>
      <w:r>
        <w:rPr>
          <w:rFonts w:hint="eastAsia" w:ascii="仿宋_GB2312" w:hAnsi="仿宋_GB2312" w:eastAsia="仿宋_GB2312" w:cs="仿宋_GB2312"/>
          <w:color w:val="auto"/>
          <w:kern w:val="2"/>
          <w:sz w:val="32"/>
          <w:szCs w:val="22"/>
          <w:u w:val="none" w:color="auto"/>
          <w:lang w:val="en-US" w:eastAsia="zh-CN"/>
        </w:rPr>
        <w:t>加强养老服务统计监测，完善相关基础数据，加强部门间涉老数据信息共享。完善养老服务工作综合考核、积极应对人口老龄化能力评价机制，将考核结果与资金分配、试点示范等挂钩。</w:t>
      </w:r>
      <w:r>
        <w:rPr>
          <w:rFonts w:hint="eastAsia" w:ascii="华文仿宋" w:hAnsi="华文仿宋" w:eastAsia="华文仿宋" w:cs="华文仿宋"/>
          <w:color w:val="auto"/>
          <w:kern w:val="2"/>
          <w:sz w:val="32"/>
          <w:szCs w:val="22"/>
          <w:u w:val="none" w:color="auto"/>
          <w:lang w:val="en-US" w:eastAsia="zh-CN"/>
        </w:rPr>
        <w:t>〔</w:t>
      </w:r>
      <w:r>
        <w:rPr>
          <w:rFonts w:hint="eastAsia" w:ascii="楷体_GB2312" w:hAnsi="楷体_GB2312" w:eastAsia="楷体_GB2312" w:cs="楷体_GB2312"/>
          <w:sz w:val="32"/>
          <w:szCs w:val="32"/>
          <w:u w:val="none" w:color="auto"/>
          <w:lang w:val="en-US" w:eastAsia="zh-CN"/>
        </w:rPr>
        <w:t>责任单位：县养老服务体系建设发展领导小组各成员单位，</w:t>
      </w:r>
      <w:r>
        <w:rPr>
          <w:rFonts w:hint="eastAsia" w:ascii="楷体_GB2312" w:hAnsi="楷体_GB2312" w:eastAsia="楷体_GB2312" w:cs="楷体_GB2312"/>
          <w:b w:val="0"/>
          <w:bCs w:val="0"/>
          <w:sz w:val="32"/>
          <w:szCs w:val="32"/>
          <w:highlight w:val="none"/>
          <w:u w:val="none" w:color="auto"/>
          <w:lang w:val="en-US" w:eastAsia="zh-CN"/>
        </w:rPr>
        <w:t>各乡镇（办事处）党委</w:t>
      </w:r>
      <w:r>
        <w:rPr>
          <w:rFonts w:hint="eastAsia" w:ascii="华文仿宋" w:hAnsi="华文仿宋" w:eastAsia="华文仿宋" w:cs="华文仿宋"/>
          <w:b w:val="0"/>
          <w:bCs w:val="0"/>
          <w:sz w:val="32"/>
          <w:szCs w:val="32"/>
          <w:highlight w:val="none"/>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val="0"/>
          <w:bCs w:val="0"/>
          <w:sz w:val="32"/>
          <w:szCs w:val="32"/>
          <w:highlight w:val="none"/>
          <w:u w:val="none" w:color="auto"/>
          <w:lang w:val="en-US" w:eastAsia="zh-CN"/>
        </w:rPr>
      </w:pPr>
      <w:r>
        <w:rPr>
          <w:rFonts w:hint="eastAsia" w:ascii="楷体_GB2312" w:hAnsi="楷体_GB2312" w:eastAsia="楷体_GB2312" w:cs="楷体_GB2312"/>
          <w:b/>
          <w:bCs/>
          <w:sz w:val="32"/>
          <w:szCs w:val="32"/>
          <w:lang w:val="en-US" w:eastAsia="zh-CN"/>
        </w:rPr>
        <w:t>（十五）加强资金保障。</w:t>
      </w:r>
      <w:r>
        <w:rPr>
          <w:rFonts w:hint="eastAsia" w:ascii="仿宋_GB2312" w:hAnsi="仿宋_GB2312" w:eastAsia="仿宋_GB2312" w:cs="仿宋_GB2312"/>
          <w:sz w:val="32"/>
          <w:szCs w:val="32"/>
          <w:u w:val="none" w:color="auto"/>
          <w:lang w:val="en-US" w:eastAsia="zh-CN"/>
        </w:rPr>
        <w:t>县财政要按照“尽力而为、量力而行”原则，根据经济发展水平、人口老龄化状况和老年人服务需求逐步加大对养老服务的投入力度。将养老服务纳入政府重要民生工程和政府购买服务指导性目录，保障养老服务财政投入，55%以上福利彩票公益金用于支持发展养老服务。县财政局要足额保障公办特困人员供养服务机构运转经费。加大政府在老年人能力综合评估、居家适老化改造、家庭养老床位建设、巡访关爱、居家养老上门服务、养老服务人才培训等方面的购买服务力度。将符合条件的养老设施建设项目纳入地方政府专项债券支持范围。</w:t>
      </w:r>
      <w:r>
        <w:rPr>
          <w:rFonts w:hint="eastAsia" w:ascii="华文仿宋" w:hAnsi="华文仿宋" w:eastAsia="华文仿宋" w:cs="华文仿宋"/>
          <w:sz w:val="32"/>
          <w:szCs w:val="32"/>
          <w:u w:val="none" w:color="auto"/>
          <w:lang w:val="en-US" w:eastAsia="zh-CN"/>
        </w:rPr>
        <w:t>〔</w:t>
      </w:r>
      <w:r>
        <w:rPr>
          <w:rFonts w:hint="eastAsia" w:ascii="楷体_GB2312" w:hAnsi="楷体_GB2312" w:eastAsia="楷体_GB2312" w:cs="楷体_GB2312"/>
          <w:b w:val="0"/>
          <w:bCs w:val="0"/>
          <w:sz w:val="32"/>
          <w:szCs w:val="32"/>
          <w:highlight w:val="none"/>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发改委、</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b w:val="0"/>
          <w:bCs w:val="0"/>
          <w:sz w:val="32"/>
          <w:szCs w:val="32"/>
          <w:highlight w:val="none"/>
          <w:u w:val="none" w:color="auto"/>
          <w:lang w:val="en-US" w:eastAsia="zh-CN"/>
        </w:rPr>
        <w:t>财政局</w:t>
      </w:r>
      <w:r>
        <w:rPr>
          <w:rFonts w:hint="eastAsia" w:ascii="华文仿宋" w:hAnsi="华文仿宋" w:eastAsia="华文仿宋" w:cs="华文仿宋"/>
          <w:b w:val="0"/>
          <w:bCs w:val="0"/>
          <w:sz w:val="32"/>
          <w:szCs w:val="32"/>
          <w:highlight w:val="none"/>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val="0"/>
          <w:bCs w:val="0"/>
          <w:sz w:val="32"/>
          <w:szCs w:val="32"/>
          <w:highlight w:val="none"/>
          <w:u w:val="none" w:color="auto"/>
          <w:lang w:val="en-US" w:eastAsia="zh-CN"/>
        </w:rPr>
      </w:pPr>
      <w:r>
        <w:rPr>
          <w:rFonts w:hint="eastAsia" w:ascii="楷体_GB2312" w:hAnsi="楷体_GB2312" w:eastAsia="楷体_GB2312" w:cs="楷体_GB2312"/>
          <w:b/>
          <w:bCs/>
          <w:sz w:val="32"/>
          <w:szCs w:val="32"/>
          <w:lang w:val="en-US" w:eastAsia="zh-CN"/>
        </w:rPr>
        <w:t>（十六）落实税费优惠政策。</w:t>
      </w:r>
      <w:r>
        <w:rPr>
          <w:rFonts w:hint="eastAsia" w:ascii="仿宋_GB2312" w:hAnsi="仿宋_GB2312" w:eastAsia="仿宋_GB2312" w:cs="仿宋_GB2312"/>
          <w:sz w:val="32"/>
          <w:szCs w:val="32"/>
          <w:u w:val="none" w:color="auto"/>
          <w:lang w:val="en-US" w:eastAsia="zh-CN"/>
        </w:rPr>
        <w:t>养老机构经认定取得非营利性组织免税资格的，对符合税法规定条件的收入免征企业所得税。</w:t>
      </w:r>
      <w:r>
        <w:rPr>
          <w:rFonts w:hint="eastAsia" w:ascii="仿宋_GB2312" w:hAnsi="仿宋_GB2312" w:eastAsia="仿宋_GB2312" w:cs="仿宋_GB2312"/>
          <w:color w:val="auto"/>
          <w:sz w:val="32"/>
          <w:szCs w:val="22"/>
          <w:u w:val="none" w:color="auto"/>
          <w:lang w:eastAsia="zh-CN"/>
        </w:rPr>
        <w:t>符合条件的养老机构提供的养老服务免征增值税，属于小微企业的养老服务机构可按规定享受相应税费减免优惠。对在社区提供日间照料、康复护理等养老服务的机构按规定给予税费减免。</w:t>
      </w:r>
      <w:r>
        <w:rPr>
          <w:rFonts w:hint="eastAsia" w:ascii="仿宋_GB2312" w:hAnsi="仿宋_GB2312" w:eastAsia="仿宋_GB2312" w:cs="仿宋_GB2312"/>
          <w:sz w:val="32"/>
          <w:szCs w:val="32"/>
          <w:u w:val="none" w:color="auto"/>
          <w:lang w:val="en-US" w:eastAsia="zh-CN"/>
        </w:rPr>
        <w:t>全面落实养老机构用水、用电、用气按享受居家价格政策，不得以土地房屋性质等为理由拒绝执行相关价格政策。县养老服务体系建设发展领导小组要督促落实养老机构税费优惠政策。</w:t>
      </w:r>
      <w:r>
        <w:rPr>
          <w:rFonts w:hint="eastAsia" w:ascii="华文仿宋" w:hAnsi="华文仿宋" w:eastAsia="华文仿宋" w:cs="华文仿宋"/>
          <w:sz w:val="32"/>
          <w:szCs w:val="32"/>
          <w:u w:val="none" w:color="auto"/>
          <w:lang w:val="en-US" w:eastAsia="zh-CN"/>
        </w:rPr>
        <w:t>〔</w:t>
      </w:r>
      <w:r>
        <w:rPr>
          <w:rFonts w:hint="eastAsia" w:ascii="楷体_GB2312" w:hAnsi="楷体_GB2312" w:eastAsia="楷体_GB2312" w:cs="楷体_GB2312"/>
          <w:sz w:val="32"/>
          <w:szCs w:val="32"/>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财政局、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税务局、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发改委，县养老服务体系建设发展领导小组各成员单位</w:t>
      </w:r>
      <w:r>
        <w:rPr>
          <w:rFonts w:hint="eastAsia" w:ascii="华文仿宋" w:hAnsi="华文仿宋" w:eastAsia="华文仿宋" w:cs="华文仿宋"/>
          <w:sz w:val="32"/>
          <w:szCs w:val="32"/>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b/>
          <w:bCs/>
          <w:sz w:val="32"/>
          <w:szCs w:val="32"/>
          <w:lang w:val="en-US" w:eastAsia="zh-CN"/>
        </w:rPr>
        <w:t>（十七）强化人才队伍建设。</w:t>
      </w:r>
      <w:r>
        <w:rPr>
          <w:rFonts w:hint="eastAsia" w:ascii="仿宋_GB2312" w:hAnsi="仿宋_GB2312" w:eastAsia="仿宋_GB2312" w:cs="仿宋_GB2312"/>
          <w:sz w:val="32"/>
          <w:szCs w:val="32"/>
          <w:u w:val="none" w:color="auto"/>
          <w:lang w:val="en-US" w:eastAsia="zh-CN"/>
        </w:rPr>
        <w:t>鼓励支持我县具有培训条件的和师资力量的企业培训机构开展养老服务培训工作，申请创建实训基地。2025年底，</w:t>
      </w:r>
      <w:r>
        <w:rPr>
          <w:rFonts w:hint="eastAsia" w:ascii="仿宋_GB2312" w:hAnsi="仿宋_GB2312" w:eastAsia="仿宋_GB2312" w:cs="仿宋_GB2312"/>
          <w:color w:val="auto"/>
          <w:sz w:val="32"/>
          <w:szCs w:val="32"/>
          <w:u w:val="none" w:color="auto"/>
          <w:lang w:val="en-US" w:eastAsia="zh-CN"/>
        </w:rPr>
        <w:t>全县养老院长和养老护理员培训上岗率达到100%</w:t>
      </w:r>
      <w:r>
        <w:rPr>
          <w:rFonts w:hint="eastAsia" w:ascii="仿宋_GB2312" w:hAnsi="仿宋_GB2312" w:eastAsia="仿宋_GB2312" w:cs="仿宋_GB2312"/>
          <w:sz w:val="32"/>
          <w:szCs w:val="32"/>
          <w:u w:val="none" w:color="auto"/>
          <w:lang w:val="en-US" w:eastAsia="zh-CN"/>
        </w:rPr>
        <w:t>。</w:t>
      </w:r>
      <w:r>
        <w:rPr>
          <w:rFonts w:hint="eastAsia" w:ascii="仿宋_GB2312" w:hAnsi="仿宋_GB2312" w:eastAsia="仿宋_GB2312" w:cs="仿宋_GB2312"/>
          <w:sz w:val="32"/>
          <w:szCs w:val="32"/>
          <w:highlight w:val="none"/>
          <w:u w:val="none" w:color="auto"/>
          <w:lang w:val="en-US" w:eastAsia="zh-CN"/>
        </w:rPr>
        <w:t>完善人才激励政策，</w:t>
      </w:r>
      <w:r>
        <w:rPr>
          <w:rFonts w:hint="eastAsia" w:ascii="仿宋_GB2312" w:hAnsi="仿宋_GB2312" w:eastAsia="仿宋_GB2312" w:cs="仿宋_GB2312"/>
          <w:color w:val="auto"/>
          <w:sz w:val="32"/>
          <w:szCs w:val="32"/>
          <w:highlight w:val="none"/>
          <w:u w:val="none" w:color="auto"/>
          <w:lang w:val="en-US" w:eastAsia="zh-CN"/>
        </w:rPr>
        <w:t>对在我县养老服务机构专职从事养老护理工作连续满3年的本科及以上、专科（高职）、中职毕业生（不含事业单位在编人员），分别给予不低于3万元、2万元、1万元的一次性入职补贴。对取得初级、中级、高级、技师和高级技师职业技能等级证书的养老护理员，在养老护理岗位从事工作满2年后，分别给予不低于500元、1000元、2000元、3000元、5000元的一次性岗位补贴。</w:t>
      </w:r>
      <w:r>
        <w:rPr>
          <w:rFonts w:hint="eastAsia" w:ascii="仿宋_GB2312" w:hAnsi="仿宋_GB2312" w:eastAsia="仿宋_GB2312" w:cs="仿宋_GB2312"/>
          <w:sz w:val="32"/>
          <w:szCs w:val="32"/>
          <w:u w:val="none" w:color="auto"/>
          <w:lang w:val="en-US" w:eastAsia="zh-CN"/>
        </w:rPr>
        <w:t>组织参与省、市“最美养老护理员”“最美养老院长”等评选活动，有效提高养老服务从业人员的社会认可度和岗位荣誉感。</w:t>
      </w:r>
      <w:r>
        <w:rPr>
          <w:rFonts w:hint="eastAsia" w:ascii="华文仿宋" w:hAnsi="华文仿宋" w:eastAsia="华文仿宋" w:cs="华文仿宋"/>
          <w:sz w:val="32"/>
          <w:szCs w:val="32"/>
          <w:u w:val="none" w:color="auto"/>
          <w:lang w:val="en-US" w:eastAsia="zh-CN"/>
        </w:rPr>
        <w:t>〔</w:t>
      </w:r>
      <w:r>
        <w:rPr>
          <w:rFonts w:hint="eastAsia" w:ascii="楷体_GB2312" w:hAnsi="楷体_GB2312" w:eastAsia="楷体_GB2312" w:cs="楷体_GB2312"/>
          <w:sz w:val="32"/>
          <w:szCs w:val="32"/>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教体局、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财政局、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人社局</w:t>
      </w:r>
      <w:r>
        <w:rPr>
          <w:rFonts w:hint="eastAsia" w:ascii="华文仿宋" w:hAnsi="华文仿宋" w:eastAsia="华文仿宋" w:cs="华文仿宋"/>
          <w:sz w:val="32"/>
          <w:szCs w:val="32"/>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sz w:val="32"/>
          <w:szCs w:val="32"/>
          <w:u w:val="none" w:color="auto"/>
          <w:lang w:val="en-US" w:eastAsia="zh-CN"/>
        </w:rPr>
      </w:pPr>
      <w:r>
        <w:rPr>
          <w:rFonts w:hint="eastAsia" w:ascii="楷体_GB2312" w:hAnsi="楷体_GB2312" w:eastAsia="楷体_GB2312" w:cs="楷体_GB2312"/>
          <w:b/>
          <w:bCs/>
          <w:sz w:val="32"/>
          <w:szCs w:val="32"/>
          <w:lang w:val="en-US" w:eastAsia="zh-CN"/>
        </w:rPr>
        <w:t>（十八）发挥志愿服务组织和慈善公益力量。</w:t>
      </w:r>
      <w:r>
        <w:rPr>
          <w:rFonts w:hint="eastAsia" w:ascii="仿宋_GB2312" w:hAnsi="仿宋_GB2312" w:eastAsia="仿宋_GB2312" w:cs="仿宋_GB2312"/>
          <w:sz w:val="32"/>
          <w:szCs w:val="32"/>
          <w:u w:val="none" w:color="auto"/>
          <w:lang w:val="en-US" w:eastAsia="zh-CN"/>
        </w:rPr>
        <w:t>结合乡镇（办事处）社工站（民政服务站）建设，积极培育各类为老志愿服务组织和志愿者队伍。引导低龄、健康老年人等“银发资源”参与志愿服务，建立志愿服务时间储蓄和回馈制度，到2025年，全县为老服务志愿组织达到</w:t>
      </w:r>
      <w:r>
        <w:rPr>
          <w:rFonts w:hint="eastAsia" w:ascii="仿宋_GB2312" w:hAnsi="仿宋_GB2312" w:eastAsia="仿宋_GB2312" w:cs="仿宋_GB2312"/>
          <w:sz w:val="32"/>
          <w:szCs w:val="32"/>
          <w:highlight w:val="none"/>
          <w:u w:val="none" w:color="auto"/>
          <w:lang w:val="en-US" w:eastAsia="zh-CN"/>
        </w:rPr>
        <w:t>6支</w:t>
      </w:r>
      <w:r>
        <w:rPr>
          <w:rFonts w:hint="eastAsia" w:ascii="仿宋_GB2312" w:hAnsi="仿宋_GB2312" w:eastAsia="仿宋_GB2312" w:cs="仿宋_GB2312"/>
          <w:sz w:val="32"/>
          <w:szCs w:val="32"/>
          <w:u w:val="none" w:color="auto"/>
          <w:lang w:val="en-US" w:eastAsia="zh-CN"/>
        </w:rPr>
        <w:t>以上，志愿者达到3000</w:t>
      </w:r>
      <w:r>
        <w:rPr>
          <w:rFonts w:hint="eastAsia" w:ascii="仿宋_GB2312" w:hAnsi="仿宋_GB2312" w:eastAsia="仿宋_GB2312" w:cs="仿宋_GB2312"/>
          <w:sz w:val="32"/>
          <w:szCs w:val="32"/>
          <w:highlight w:val="none"/>
          <w:u w:val="none" w:color="auto"/>
          <w:lang w:val="en-US" w:eastAsia="zh-CN"/>
        </w:rPr>
        <w:t>人</w:t>
      </w:r>
      <w:r>
        <w:rPr>
          <w:rFonts w:hint="eastAsia" w:ascii="仿宋_GB2312" w:hAnsi="仿宋_GB2312" w:eastAsia="仿宋_GB2312" w:cs="仿宋_GB2312"/>
          <w:sz w:val="32"/>
          <w:szCs w:val="32"/>
          <w:u w:val="none" w:color="auto"/>
          <w:lang w:val="en-US" w:eastAsia="zh-CN"/>
        </w:rPr>
        <w:t>以上。</w:t>
      </w:r>
      <w:r>
        <w:rPr>
          <w:rFonts w:hint="eastAsia" w:ascii="仿宋_GB2312" w:hAnsi="仿宋_GB2312" w:eastAsia="仿宋_GB2312" w:cs="仿宋_GB2312"/>
          <w:color w:val="auto"/>
          <w:kern w:val="2"/>
          <w:sz w:val="32"/>
          <w:szCs w:val="22"/>
          <w:u w:val="none" w:color="auto"/>
          <w:lang w:val="en-US" w:eastAsia="zh-CN"/>
        </w:rPr>
        <w:t>创新完善“五社联动”机制，实现乡镇有社会工作服务，为老年人提供心理疏导、资源链接、能力提升、社会融入等服务。支持慈善社会组织面向养老服务机构、经济困难的老年人等打造一批养老服务帮扶项目。</w:t>
      </w:r>
      <w:r>
        <w:rPr>
          <w:rFonts w:hint="eastAsia" w:ascii="仿宋_GB2312" w:hAnsi="仿宋_GB2312" w:eastAsia="仿宋_GB2312" w:cs="仿宋_GB2312"/>
          <w:color w:val="auto"/>
          <w:kern w:val="2"/>
          <w:sz w:val="32"/>
          <w:szCs w:val="22"/>
          <w:highlight w:val="none"/>
          <w:u w:val="none" w:color="auto"/>
          <w:lang w:val="en-US" w:eastAsia="zh-CN"/>
        </w:rPr>
        <w:t>推动设立铅山县养老服务专项基金，统筹福彩公益金</w:t>
      </w:r>
      <w:r>
        <w:rPr>
          <w:rFonts w:hint="eastAsia" w:ascii="仿宋_GB2312" w:hAnsi="仿宋_GB2312" w:eastAsia="仿宋_GB2312" w:cs="仿宋_GB2312"/>
          <w:color w:val="auto"/>
          <w:sz w:val="32"/>
          <w:szCs w:val="32"/>
          <w:highlight w:val="none"/>
          <w:u w:val="none" w:color="auto"/>
          <w:lang w:val="en-US" w:eastAsia="zh-CN"/>
        </w:rPr>
        <w:t>、慈善资金等各类资金用于支持养老服务</w:t>
      </w:r>
      <w:r>
        <w:rPr>
          <w:rFonts w:hint="eastAsia" w:ascii="仿宋_GB2312" w:hAnsi="仿宋_GB2312" w:eastAsia="仿宋_GB2312" w:cs="仿宋_GB2312"/>
          <w:color w:val="auto"/>
          <w:kern w:val="2"/>
          <w:sz w:val="32"/>
          <w:szCs w:val="22"/>
          <w:u w:val="none" w:color="auto"/>
          <w:lang w:val="en-US" w:eastAsia="zh-CN"/>
        </w:rPr>
        <w:t>。支持红十字会开展为老志愿服务、养老照护、应急救护知识和技能培训等工作。</w:t>
      </w:r>
      <w:r>
        <w:rPr>
          <w:rFonts w:hint="eastAsia" w:ascii="华文仿宋" w:hAnsi="华文仿宋" w:eastAsia="华文仿宋" w:cs="华文仿宋"/>
          <w:color w:val="auto"/>
          <w:kern w:val="2"/>
          <w:sz w:val="32"/>
          <w:szCs w:val="22"/>
          <w:u w:val="none" w:color="auto"/>
          <w:lang w:val="en-US" w:eastAsia="zh-CN"/>
        </w:rPr>
        <w:t>〔</w:t>
      </w:r>
      <w:r>
        <w:rPr>
          <w:rFonts w:hint="eastAsia" w:ascii="楷体_GB2312" w:hAnsi="楷体_GB2312" w:eastAsia="楷体_GB2312" w:cs="楷体_GB2312"/>
          <w:sz w:val="32"/>
          <w:szCs w:val="32"/>
          <w:u w:val="none" w:color="auto"/>
          <w:lang w:val="en-US" w:eastAsia="zh-CN"/>
        </w:rPr>
        <w:t>责任单位：</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民政局、</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文明办、</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红十字会、</w:t>
      </w:r>
      <w:r>
        <w:rPr>
          <w:rFonts w:hint="eastAsia" w:ascii="楷体_GB2312" w:hAnsi="楷体_GB2312" w:eastAsia="楷体_GB2312" w:cs="楷体_GB2312"/>
          <w:color w:val="auto"/>
          <w:kern w:val="2"/>
          <w:sz w:val="32"/>
          <w:szCs w:val="44"/>
          <w:lang w:val="en-US" w:eastAsia="zh-CN"/>
        </w:rPr>
        <w:t>县</w:t>
      </w:r>
      <w:r>
        <w:rPr>
          <w:rFonts w:hint="eastAsia" w:ascii="楷体_GB2312" w:hAnsi="楷体_GB2312" w:eastAsia="楷体_GB2312" w:cs="楷体_GB2312"/>
          <w:sz w:val="32"/>
          <w:szCs w:val="32"/>
          <w:u w:val="none" w:color="auto"/>
          <w:lang w:val="en-US" w:eastAsia="zh-CN"/>
        </w:rPr>
        <w:t>慈善会</w:t>
      </w:r>
      <w:r>
        <w:rPr>
          <w:rFonts w:hint="eastAsia" w:ascii="华文仿宋" w:hAnsi="华文仿宋" w:eastAsia="华文仿宋" w:cs="华文仿宋"/>
          <w:sz w:val="32"/>
          <w:szCs w:val="32"/>
          <w:u w:val="none" w:color="auto"/>
          <w:lang w:val="en-US" w:eastAsia="zh-CN"/>
        </w:rPr>
        <w:t>〕</w:t>
      </w:r>
    </w:p>
    <w:p>
      <w:pPr>
        <w:pageBreakBefore w:val="0"/>
        <w:widowControl w:val="0"/>
        <w:kinsoku/>
        <w:overflowPunct/>
        <w:topLinePunct w:val="0"/>
        <w:autoSpaceDE/>
        <w:autoSpaceDN/>
        <w:bidi w:val="0"/>
        <w:adjustRightInd/>
        <w:snapToGrid/>
        <w:spacing w:line="560" w:lineRule="exact"/>
        <w:ind w:left="0" w:leftChars="0"/>
        <w:rPr>
          <w:rFonts w:hint="eastAsia" w:ascii="楷体_GB2312" w:hAnsi="楷体_GB2312" w:eastAsia="楷体_GB2312" w:cs="楷体_GB2312"/>
          <w:sz w:val="32"/>
          <w:szCs w:val="32"/>
          <w:u w:val="none" w:color="auto"/>
          <w:lang w:val="en-US" w:eastAsia="zh-CN"/>
        </w:rPr>
      </w:pPr>
    </w:p>
    <w:p>
      <w:pPr>
        <w:pStyle w:val="19"/>
        <w:pageBreakBefore w:val="0"/>
        <w:widowControl/>
        <w:kinsoku/>
        <w:overflowPunct/>
        <w:topLinePunct w:val="0"/>
        <w:autoSpaceDE/>
        <w:autoSpaceDN/>
        <w:bidi w:val="0"/>
        <w:adjustRightInd/>
        <w:snapToGrid/>
        <w:spacing w:before="0" w:beforeAutospacing="0" w:after="0" w:afterAutospacing="0" w:line="560" w:lineRule="exact"/>
        <w:jc w:val="both"/>
        <w:textAlignment w:val="top"/>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lang w:val="en-US" w:eastAsia="zh-CN"/>
        </w:rPr>
        <w:t xml:space="preserve">    附件：</w:t>
      </w:r>
      <w:r>
        <w:rPr>
          <w:rFonts w:hint="eastAsia" w:ascii="仿宋_GB2312" w:hAnsi="仿宋_GB2312" w:eastAsia="仿宋_GB2312" w:cs="仿宋_GB2312"/>
          <w:b w:val="0"/>
          <w:bCs w:val="0"/>
          <w:sz w:val="32"/>
          <w:szCs w:val="32"/>
          <w:lang w:val="en-US" w:eastAsia="zh-CN"/>
        </w:rPr>
        <w:t>铅山县</w:t>
      </w:r>
      <w:r>
        <w:rPr>
          <w:rFonts w:hint="eastAsia" w:ascii="仿宋_GB2312" w:hAnsi="仿宋_GB2312" w:eastAsia="仿宋_GB2312" w:cs="仿宋_GB2312"/>
          <w:b w:val="0"/>
          <w:bCs w:val="0"/>
          <w:sz w:val="32"/>
          <w:szCs w:val="32"/>
        </w:rPr>
        <w:t>基本养老服务清单（2023年版）</w:t>
      </w:r>
    </w:p>
    <w:p>
      <w:pPr>
        <w:pStyle w:val="2"/>
        <w:pageBreakBefore w:val="0"/>
        <w:widowControl w:val="0"/>
        <w:kinsoku/>
        <w:overflowPunct/>
        <w:topLinePunct w:val="0"/>
        <w:autoSpaceDE/>
        <w:autoSpaceDN/>
        <w:bidi w:val="0"/>
        <w:adjustRightInd/>
        <w:snapToGrid/>
        <w:spacing w:after="0" w:afterLines="0" w:line="560" w:lineRule="exact"/>
        <w:ind w:left="0" w:leftChars="0"/>
        <w:rPr>
          <w:rFonts w:hint="eastAsia"/>
          <w:lang w:val="en-US" w:eastAsia="zh-CN"/>
        </w:rPr>
      </w:pPr>
    </w:p>
    <w:p>
      <w:pPr>
        <w:pStyle w:val="3"/>
        <w:pageBreakBefore w:val="0"/>
        <w:widowControl w:val="0"/>
        <w:kinsoku/>
        <w:overflowPunct/>
        <w:topLinePunct w:val="0"/>
        <w:autoSpaceDE/>
        <w:autoSpaceDN/>
        <w:bidi w:val="0"/>
        <w:adjustRightInd/>
        <w:snapToGrid/>
        <w:spacing w:line="560" w:lineRule="exact"/>
        <w:rPr>
          <w:rFonts w:hint="eastAsia"/>
          <w:lang w:val="en-US" w:eastAsia="zh-CN"/>
        </w:rPr>
      </w:pPr>
    </w:p>
    <w:p>
      <w:pPr>
        <w:pStyle w:val="3"/>
        <w:pageBreakBefore w:val="0"/>
        <w:widowControl w:val="0"/>
        <w:kinsoku/>
        <w:overflowPunct/>
        <w:topLinePunct w:val="0"/>
        <w:autoSpaceDE/>
        <w:autoSpaceDN/>
        <w:bidi w:val="0"/>
        <w:adjustRightInd/>
        <w:snapToGrid/>
        <w:spacing w:line="560" w:lineRule="exact"/>
        <w:rPr>
          <w:rFonts w:hint="eastAsia"/>
          <w:lang w:val="en-US" w:eastAsia="zh-CN"/>
        </w:rPr>
      </w:pPr>
    </w:p>
    <w:p>
      <w:pPr>
        <w:pStyle w:val="3"/>
        <w:pageBreakBefore w:val="0"/>
        <w:widowControl w:val="0"/>
        <w:kinsoku/>
        <w:overflowPunct/>
        <w:topLinePunct w:val="0"/>
        <w:autoSpaceDE/>
        <w:autoSpaceDN/>
        <w:bidi w:val="0"/>
        <w:adjustRightInd/>
        <w:snapToGrid/>
        <w:spacing w:line="560" w:lineRule="exact"/>
        <w:rPr>
          <w:rFonts w:hint="eastAsia"/>
          <w:lang w:val="en-US" w:eastAsia="zh-CN"/>
        </w:rPr>
      </w:pPr>
    </w:p>
    <w:p>
      <w:pPr>
        <w:pStyle w:val="3"/>
        <w:pageBreakBefore w:val="0"/>
        <w:widowControl w:val="0"/>
        <w:kinsoku/>
        <w:overflowPunct/>
        <w:topLinePunct w:val="0"/>
        <w:autoSpaceDE/>
        <w:autoSpaceDN/>
        <w:bidi w:val="0"/>
        <w:adjustRightInd/>
        <w:snapToGrid/>
        <w:spacing w:line="560" w:lineRule="exact"/>
        <w:rPr>
          <w:rFonts w:hint="eastAsia"/>
          <w:lang w:val="en-US" w:eastAsia="zh-CN"/>
        </w:rPr>
      </w:pPr>
    </w:p>
    <w:p>
      <w:pPr>
        <w:pStyle w:val="3"/>
        <w:pageBreakBefore w:val="0"/>
        <w:widowControl w:val="0"/>
        <w:kinsoku/>
        <w:overflowPunct/>
        <w:topLinePunct w:val="0"/>
        <w:autoSpaceDE/>
        <w:autoSpaceDN/>
        <w:bidi w:val="0"/>
        <w:adjustRightInd/>
        <w:snapToGrid/>
        <w:spacing w:line="560" w:lineRule="exact"/>
        <w:rPr>
          <w:rFonts w:hint="eastAsia"/>
          <w:lang w:val="en-US" w:eastAsia="zh-CN"/>
        </w:rPr>
      </w:pPr>
    </w:p>
    <w:p>
      <w:pPr>
        <w:pStyle w:val="3"/>
        <w:pageBreakBefore w:val="0"/>
        <w:widowControl w:val="0"/>
        <w:kinsoku/>
        <w:overflowPunct/>
        <w:topLinePunct w:val="0"/>
        <w:autoSpaceDE/>
        <w:autoSpaceDN/>
        <w:bidi w:val="0"/>
        <w:adjustRightInd/>
        <w:snapToGrid/>
        <w:spacing w:line="560" w:lineRule="exact"/>
        <w:rPr>
          <w:rFonts w:hint="eastAsia"/>
          <w:lang w:val="en-US" w:eastAsia="zh-CN"/>
        </w:rPr>
      </w:pPr>
    </w:p>
    <w:p>
      <w:pPr>
        <w:pStyle w:val="3"/>
        <w:pageBreakBefore w:val="0"/>
        <w:widowControl w:val="0"/>
        <w:kinsoku/>
        <w:overflowPunct/>
        <w:topLinePunct w:val="0"/>
        <w:autoSpaceDE/>
        <w:autoSpaceDN/>
        <w:bidi w:val="0"/>
        <w:adjustRightInd/>
        <w:snapToGrid/>
        <w:spacing w:line="560" w:lineRule="exact"/>
        <w:ind w:left="0" w:leftChars="0" w:firstLine="0" w:firstLineChars="0"/>
        <w:rPr>
          <w:rFonts w:hint="eastAsia"/>
          <w:lang w:val="en-US" w:eastAsia="zh-CN"/>
        </w:rPr>
      </w:pPr>
    </w:p>
    <w:p>
      <w:pPr>
        <w:pStyle w:val="3"/>
        <w:pageBreakBefore w:val="0"/>
        <w:widowControl w:val="0"/>
        <w:kinsoku/>
        <w:overflowPunct/>
        <w:topLinePunct w:val="0"/>
        <w:autoSpaceDE/>
        <w:autoSpaceDN/>
        <w:bidi w:val="0"/>
        <w:adjustRightInd/>
        <w:snapToGrid/>
        <w:spacing w:line="560" w:lineRule="exact"/>
        <w:rPr>
          <w:rFonts w:hint="eastAsia"/>
          <w:lang w:val="en-US" w:eastAsia="zh-CN"/>
        </w:rPr>
      </w:pPr>
    </w:p>
    <w:p>
      <w:pPr>
        <w:pStyle w:val="3"/>
        <w:pageBreakBefore w:val="0"/>
        <w:widowControl w:val="0"/>
        <w:kinsoku/>
        <w:overflowPunct/>
        <w:topLinePunct w:val="0"/>
        <w:autoSpaceDE/>
        <w:autoSpaceDN/>
        <w:bidi w:val="0"/>
        <w:adjustRightInd/>
        <w:snapToGrid/>
        <w:spacing w:line="560" w:lineRule="exact"/>
        <w:rPr>
          <w:rFonts w:hint="eastAsia"/>
          <w:lang w:val="en-US" w:eastAsia="zh-CN"/>
        </w:rPr>
        <w:sectPr>
          <w:headerReference r:id="rId7" w:type="default"/>
          <w:footerReference r:id="rId8" w:type="default"/>
          <w:pgSz w:w="11906" w:h="16838"/>
          <w:pgMar w:top="2098" w:right="1474" w:bottom="1984" w:left="1587" w:header="851" w:footer="992" w:gutter="0"/>
          <w:pgNumType w:fmt="decimal"/>
          <w:cols w:space="0" w:num="1"/>
          <w:rtlGutter w:val="0"/>
          <w:docGrid w:type="lines" w:linePitch="312" w:charSpace="0"/>
        </w:sectPr>
      </w:pPr>
    </w:p>
    <w:p>
      <w:pPr>
        <w:pStyle w:val="19"/>
        <w:pageBreakBefore w:val="0"/>
        <w:widowControl/>
        <w:kinsoku/>
        <w:overflowPunct/>
        <w:topLinePunct w:val="0"/>
        <w:autoSpaceDE/>
        <w:autoSpaceDN/>
        <w:bidi w:val="0"/>
        <w:adjustRightInd/>
        <w:snapToGrid/>
        <w:spacing w:before="0" w:beforeAutospacing="0" w:after="0" w:afterAutospacing="0" w:line="560" w:lineRule="exact"/>
        <w:jc w:val="both"/>
        <w:textAlignment w:val="top"/>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附  件</w:t>
      </w:r>
    </w:p>
    <w:p>
      <w:pPr>
        <w:pStyle w:val="19"/>
        <w:pageBreakBefore w:val="0"/>
        <w:widowControl/>
        <w:kinsoku/>
        <w:overflowPunct/>
        <w:topLinePunct w:val="0"/>
        <w:autoSpaceDE/>
        <w:autoSpaceDN/>
        <w:bidi w:val="0"/>
        <w:adjustRightInd/>
        <w:snapToGrid/>
        <w:spacing w:before="0" w:beforeAutospacing="0" w:after="0" w:afterAutospacing="0" w:line="560" w:lineRule="exact"/>
        <w:jc w:val="center"/>
        <w:textAlignment w:val="top"/>
        <w:rPr>
          <w:rFonts w:hint="eastAsia" w:ascii="方正小标宋_GBK" w:hAnsi="Times New Roman" w:eastAsia="方正小标宋_GBK"/>
          <w:b w:val="0"/>
          <w:bCs w:val="0"/>
          <w:sz w:val="44"/>
          <w:szCs w:val="44"/>
        </w:rPr>
      </w:pPr>
      <w:r>
        <w:rPr>
          <w:rFonts w:hint="eastAsia" w:ascii="方正小标宋_GBK" w:hAnsi="Times New Roman" w:eastAsia="方正小标宋_GBK"/>
          <w:b w:val="0"/>
          <w:bCs w:val="0"/>
          <w:sz w:val="44"/>
          <w:szCs w:val="44"/>
          <w:lang w:val="en-US" w:eastAsia="zh-CN"/>
        </w:rPr>
        <w:t>铅山县</w:t>
      </w:r>
      <w:r>
        <w:rPr>
          <w:rFonts w:hint="eastAsia" w:ascii="方正小标宋_GBK" w:hAnsi="Times New Roman" w:eastAsia="方正小标宋_GBK"/>
          <w:b w:val="0"/>
          <w:bCs w:val="0"/>
          <w:sz w:val="44"/>
          <w:szCs w:val="44"/>
        </w:rPr>
        <w:t>基本养老服务清单（2023年版）</w:t>
      </w:r>
    </w:p>
    <w:p>
      <w:pPr>
        <w:pStyle w:val="19"/>
        <w:pageBreakBefore w:val="0"/>
        <w:widowControl/>
        <w:kinsoku/>
        <w:overflowPunct/>
        <w:topLinePunct w:val="0"/>
        <w:autoSpaceDE/>
        <w:autoSpaceDN/>
        <w:bidi w:val="0"/>
        <w:adjustRightInd/>
        <w:snapToGrid/>
        <w:spacing w:before="0" w:beforeAutospacing="0" w:after="0" w:afterAutospacing="0" w:line="560" w:lineRule="exact"/>
        <w:jc w:val="center"/>
        <w:textAlignment w:val="top"/>
        <w:rPr>
          <w:rFonts w:hint="eastAsia" w:ascii="方正小标宋_GBK" w:hAnsi="Times New Roman" w:eastAsia="方正小标宋_GBK"/>
          <w:b w:val="0"/>
          <w:bCs w:val="0"/>
          <w:sz w:val="44"/>
          <w:szCs w:val="44"/>
          <w:lang w:eastAsia="zh-CN"/>
        </w:rPr>
      </w:pPr>
    </w:p>
    <w:tbl>
      <w:tblPr>
        <w:tblStyle w:val="26"/>
        <w:tblW w:w="14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1"/>
        <w:gridCol w:w="1239"/>
        <w:gridCol w:w="2209"/>
        <w:gridCol w:w="3173"/>
        <w:gridCol w:w="5041"/>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24" w:hRule="atLeast"/>
          <w:tblHeader/>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序号</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服务类型</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服务项目</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服务对象</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服务内容及标准</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牵头责任单位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6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1</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职工基本养老保险</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符合条件的60周岁及以上老年人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对符合条件的参保老年人按时足额发放基本养老金</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lang w:val="en"/>
              </w:rPr>
            </w:pPr>
            <w:r>
              <w:rPr>
                <w:rFonts w:hint="eastAsia" w:ascii="仿宋_GB2312" w:hAnsi="仿宋_GB2312" w:eastAsia="仿宋_GB2312" w:cs="仿宋_GB2312"/>
                <w:kern w:val="0"/>
                <w:sz w:val="24"/>
                <w:lang w:val="en-US" w:eastAsia="zh-CN" w:bidi="ar"/>
              </w:rPr>
              <w:t>县</w:t>
            </w:r>
            <w:r>
              <w:rPr>
                <w:rFonts w:hint="eastAsia" w:ascii="仿宋_GB2312" w:hAnsi="仿宋_GB2312" w:eastAsia="仿宋_GB2312" w:cs="仿宋_GB2312"/>
                <w:kern w:val="0"/>
                <w:sz w:val="24"/>
                <w:lang w:val="en" w:bidi="ar"/>
              </w:rPr>
              <w:t>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83"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2</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城乡居民基本养老保险</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符合条件的60周岁及以上老年人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对符合条件的参保老年人发放基础养老金和个人账户养老金，并按规定享受基础养老金调整</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lang w:val="en"/>
              </w:rPr>
            </w:pPr>
            <w:r>
              <w:rPr>
                <w:rFonts w:hint="eastAsia" w:ascii="仿宋_GB2312" w:hAnsi="仿宋_GB2312" w:eastAsia="仿宋_GB2312" w:cs="仿宋_GB2312"/>
                <w:kern w:val="0"/>
                <w:sz w:val="24"/>
                <w:lang w:val="en" w:eastAsia="zh-CN" w:bidi="ar"/>
              </w:rPr>
              <w:t>县</w:t>
            </w:r>
            <w:r>
              <w:rPr>
                <w:rFonts w:hint="eastAsia" w:ascii="仿宋_GB2312" w:hAnsi="仿宋_GB2312" w:eastAsia="仿宋_GB2312" w:cs="仿宋_GB2312"/>
                <w:kern w:val="0"/>
                <w:sz w:val="24"/>
                <w:lang w:val="en" w:bidi="ar"/>
              </w:rPr>
              <w:t>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037"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3</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最低社会保障</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低保家庭中60周岁及以上老年人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u w:val="none"/>
                <w:lang w:bidi="ar"/>
              </w:rPr>
              <w:t>城乡最低生活保障标准按照每人每月885元、660元发放最低生活保障金，</w:t>
            </w:r>
            <w:r>
              <w:rPr>
                <w:rFonts w:hint="eastAsia" w:ascii="仿宋_GB2312" w:hAnsi="仿宋_GB2312" w:eastAsia="仿宋_GB2312" w:cs="仿宋_GB2312"/>
                <w:color w:val="auto"/>
                <w:kern w:val="0"/>
                <w:sz w:val="24"/>
                <w:lang w:bidi="ar"/>
              </w:rPr>
              <w:t>对获得最低生活保障金后生活仍有困难的老年人，采取必要措施给予生活保障</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eastAsia="zh-CN" w:bidi="ar"/>
              </w:rPr>
              <w:t>县</w:t>
            </w:r>
            <w:r>
              <w:rPr>
                <w:rFonts w:hint="eastAsia" w:ascii="仿宋_GB2312" w:hAnsi="仿宋_GB2312" w:eastAsia="仿宋_GB2312" w:cs="仿宋_GB2312"/>
                <w:color w:val="auto"/>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011"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4</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高龄津贴</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80周岁及以上老年人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u w:val="none"/>
                <w:lang w:bidi="ar"/>
              </w:rPr>
              <w:t>按80-89岁每人每月60元，90-99岁每人每月100元，100岁及以上每人每月300元标准发放高龄津贴。</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87"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5</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经济困难的老年人养老服务补贴</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val="en-US" w:eastAsia="zh-CN" w:bidi="ar"/>
              </w:rPr>
              <w:t>铅山县</w:t>
            </w:r>
            <w:r>
              <w:rPr>
                <w:rFonts w:hint="eastAsia" w:ascii="仿宋_GB2312" w:hAnsi="仿宋_GB2312" w:eastAsia="仿宋_GB2312" w:cs="仿宋_GB2312"/>
                <w:kern w:val="0"/>
                <w:sz w:val="24"/>
                <w:lang w:bidi="ar"/>
              </w:rPr>
              <w:t>户籍的低保对象、特困人员中的老年人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每人每月50元</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1"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6</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经济困难的失能老年人护理补贴</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val="en-US" w:eastAsia="zh-CN" w:bidi="ar"/>
              </w:rPr>
              <w:t>铅山县</w:t>
            </w:r>
            <w:r>
              <w:rPr>
                <w:rFonts w:hint="eastAsia" w:ascii="仿宋_GB2312" w:hAnsi="仿宋_GB2312" w:eastAsia="仿宋_GB2312" w:cs="仿宋_GB2312"/>
                <w:kern w:val="0"/>
                <w:sz w:val="24"/>
                <w:lang w:bidi="ar"/>
              </w:rPr>
              <w:t>户籍、年满60周岁的低保对象中没有享受残疾人护理补贴的失能老年人和特困人员中的失能老年人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低保对象中没有享受残疾人护理补贴的失能老年人护理补贴标准为每人每月不低于50元；特困人员中失能、部分失能老年人的护理补贴标准为每人每月分别不低于当地最低工资标准80%、20%</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0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7</w:t>
            </w:r>
          </w:p>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困难残疾人生活补贴和重度残疾人护理补贴</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具有</w:t>
            </w:r>
            <w:r>
              <w:rPr>
                <w:rFonts w:hint="eastAsia" w:ascii="仿宋_GB2312" w:hAnsi="仿宋_GB2312" w:eastAsia="仿宋_GB2312" w:cs="仿宋_GB2312"/>
                <w:kern w:val="0"/>
                <w:sz w:val="24"/>
                <w:lang w:val="en-US" w:eastAsia="zh-CN" w:bidi="ar"/>
              </w:rPr>
              <w:t>铅山县</w:t>
            </w:r>
            <w:r>
              <w:rPr>
                <w:rFonts w:hint="eastAsia" w:ascii="仿宋_GB2312" w:hAnsi="仿宋_GB2312" w:eastAsia="仿宋_GB2312" w:cs="仿宋_GB2312"/>
                <w:kern w:val="0"/>
                <w:sz w:val="24"/>
                <w:lang w:bidi="ar"/>
              </w:rPr>
              <w:t>户籍、持有残疾人证，纳入城乡最低生活保障的残疾老年人提供生活补贴；具有</w:t>
            </w:r>
            <w:r>
              <w:rPr>
                <w:rFonts w:hint="eastAsia" w:ascii="仿宋_GB2312" w:hAnsi="仿宋_GB2312" w:eastAsia="仿宋_GB2312" w:cs="仿宋_GB2312"/>
                <w:kern w:val="0"/>
                <w:sz w:val="24"/>
                <w:lang w:val="en-US" w:eastAsia="zh-CN" w:bidi="ar"/>
              </w:rPr>
              <w:t>铅山县</w:t>
            </w:r>
            <w:r>
              <w:rPr>
                <w:rFonts w:hint="eastAsia" w:ascii="仿宋_GB2312" w:hAnsi="仿宋_GB2312" w:eastAsia="仿宋_GB2312" w:cs="仿宋_GB2312"/>
                <w:kern w:val="0"/>
                <w:sz w:val="24"/>
                <w:lang w:bidi="ar"/>
              </w:rPr>
              <w:t>户籍、持有残疾人证，残疾等级被评定为一级、二级的残疾老年人提供护理补贴</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按照每人每月100元的标准发放城乡困难残疾人生活补贴；按照每人每月100元的标准发放重度残疾老年人护理补贴</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44"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8</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流浪乞讨救助</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生活无着的流浪、乞讨老年人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依照有关规定给予救助</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025"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9</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困难老年人基本医疗保险资助</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享受特困供养和最低生活保障的老年人和其他符合条件的困难老年人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u w:val="none"/>
                <w:lang w:bidi="ar"/>
              </w:rPr>
              <w:t>参加城乡居民基本医疗保险的特困、低保、脱贫不稳定等困难老年人，基本医疗保险个人缴费由政府给予全额或定额资助</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Cs w:val="21"/>
                <w:lang w:val="en"/>
              </w:rPr>
            </w:pPr>
            <w:r>
              <w:rPr>
                <w:rFonts w:hint="eastAsia" w:ascii="仿宋_GB2312" w:hAnsi="仿宋_GB2312" w:eastAsia="仿宋_GB2312" w:cs="仿宋_GB2312"/>
                <w:kern w:val="0"/>
                <w:sz w:val="24"/>
                <w:lang w:val="en" w:eastAsia="zh-CN" w:bidi="ar"/>
              </w:rPr>
              <w:t>县</w:t>
            </w:r>
            <w:r>
              <w:rPr>
                <w:rFonts w:hint="eastAsia" w:ascii="仿宋_GB2312" w:hAnsi="仿宋_GB2312" w:eastAsia="仿宋_GB2312" w:cs="仿宋_GB2312"/>
                <w:kern w:val="0"/>
                <w:sz w:val="24"/>
                <w:lang w:val="en" w:bidi="ar"/>
              </w:rPr>
              <w:t>医疗保障局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6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10</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计划生育家庭特别扶助金</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60周岁及以上独生子女死亡或伤残的特别扶助对象</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60周岁及以上独生子女死亡的特别扶助对象</w:t>
            </w:r>
          </w:p>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按每人每月810元标准发放特别扶助金；</w:t>
            </w:r>
          </w:p>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60周岁及以上独生子女伤残的特别扶助对象</w:t>
            </w:r>
          </w:p>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sz w:val="24"/>
                <w:highlight w:val="yellow"/>
              </w:rPr>
            </w:pPr>
            <w:r>
              <w:rPr>
                <w:rFonts w:hint="eastAsia" w:ascii="仿宋_GB2312" w:hAnsi="仿宋_GB2312" w:eastAsia="仿宋_GB2312" w:cs="仿宋_GB2312"/>
                <w:kern w:val="0"/>
                <w:sz w:val="24"/>
                <w:lang w:bidi="ar"/>
              </w:rPr>
              <w:t>按每人每月550元标准发放特别扶助金</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lang w:val="en"/>
              </w:rPr>
            </w:pPr>
            <w:r>
              <w:rPr>
                <w:rFonts w:hint="eastAsia" w:ascii="仿宋_GB2312" w:hAnsi="仿宋_GB2312" w:eastAsia="仿宋_GB2312" w:cs="仿宋_GB2312"/>
                <w:kern w:val="0"/>
                <w:sz w:val="24"/>
                <w:lang w:val="en" w:eastAsia="zh-CN" w:bidi="ar"/>
              </w:rPr>
              <w:t>县</w:t>
            </w:r>
            <w:r>
              <w:rPr>
                <w:rFonts w:hint="eastAsia" w:ascii="仿宋_GB2312" w:hAnsi="仿宋_GB2312" w:eastAsia="仿宋_GB2312" w:cs="仿宋_GB2312"/>
                <w:kern w:val="0"/>
                <w:sz w:val="24"/>
                <w:lang w:val="en" w:bidi="ar"/>
              </w:rPr>
              <w:t>卫生健康委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013"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11</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司法救助</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60周岁及以上老年人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老年人因其合法权益受到侵害提起诉讼缴纳诉讼费确有困难的，可以申请司法救助、依法依规缓交、减交或者免交诉讼费</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人民法院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8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12</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物质帮助</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公证服务</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60周岁及以上老年人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为经济困难且符合法律援助条件的老年人申办公证提供免费或优惠服务，</w:t>
            </w:r>
            <w:r>
              <w:rPr>
                <w:rFonts w:hint="eastAsia" w:ascii="仿宋_GB2312" w:hAnsi="仿宋_GB2312" w:eastAsia="仿宋_GB2312" w:cs="仿宋_GB2312"/>
                <w:kern w:val="0"/>
                <w:sz w:val="24"/>
                <w:u w:val="none"/>
                <w:lang w:bidi="ar"/>
              </w:rPr>
              <w:t>70周岁及以上老年人首次办理遗嘱公证免收费用，80周岁以上行动不便的老人提供免费上门法律援助服务</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司法局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065"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13</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照护服务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老年人能力综合</w:t>
            </w:r>
          </w:p>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评估</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65周岁及以上老年人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为老年人提供能力综合评估，做好老年人能力综合评估与健康</w:t>
            </w:r>
            <w:r>
              <w:rPr>
                <w:rFonts w:hint="eastAsia" w:ascii="仿宋_GB2312" w:hAnsi="仿宋_GB2312" w:eastAsia="仿宋_GB2312" w:cs="仿宋_GB2312"/>
                <w:kern w:val="0"/>
                <w:sz w:val="24"/>
                <w:u w:val="none"/>
                <w:lang w:bidi="ar"/>
              </w:rPr>
              <w:t>状况评估的衔接，开展医养结合与失能老年人评估指导工作</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sz w:val="24"/>
                <w:lang w:eastAsia="zh-CN"/>
              </w:rPr>
              <w:t>县</w:t>
            </w:r>
            <w:r>
              <w:rPr>
                <w:rFonts w:hint="eastAsia" w:ascii="仿宋_GB2312" w:hAnsi="仿宋_GB2312" w:eastAsia="仿宋_GB2312" w:cs="仿宋_GB2312"/>
                <w:sz w:val="24"/>
              </w:rPr>
              <w:t>民政局</w:t>
            </w:r>
          </w:p>
          <w:p>
            <w:pPr>
              <w:pStyle w:val="8"/>
              <w:keepNext w:val="0"/>
              <w:keepLines w:val="0"/>
              <w:pageBreakBefore w:val="0"/>
              <w:kinsoku/>
              <w:wordWrap/>
              <w:overflowPunct/>
              <w:topLinePunct w:val="0"/>
              <w:autoSpaceDE/>
              <w:autoSpaceDN/>
              <w:bidi w:val="0"/>
              <w:adjustRightInd/>
              <w:snapToGrid/>
              <w:spacing w:line="500" w:lineRule="exact"/>
              <w:ind w:left="0" w:leftChars="0"/>
              <w:jc w:val="center"/>
              <w:rPr>
                <w:rFonts w:hint="eastAsia" w:ascii="仿宋_GB2312" w:hAnsi="仿宋_GB2312" w:eastAsia="仿宋_GB2312" w:cs="仿宋_GB2312"/>
                <w:lang w:val="en"/>
              </w:rPr>
            </w:pPr>
            <w:r>
              <w:rPr>
                <w:rFonts w:hint="eastAsia" w:ascii="仿宋_GB2312" w:hAnsi="仿宋_GB2312" w:eastAsia="仿宋_GB2312" w:cs="仿宋_GB2312"/>
                <w:kern w:val="0"/>
                <w:sz w:val="24"/>
                <w:szCs w:val="24"/>
                <w:lang w:val="en" w:eastAsia="zh-CN" w:bidi="ar"/>
              </w:rPr>
              <w:t>县</w:t>
            </w:r>
            <w:r>
              <w:rPr>
                <w:rFonts w:hint="eastAsia" w:ascii="仿宋_GB2312" w:hAnsi="仿宋_GB2312" w:eastAsia="仿宋_GB2312" w:cs="仿宋_GB2312"/>
                <w:kern w:val="0"/>
                <w:sz w:val="24"/>
                <w:szCs w:val="24"/>
                <w:lang w:val="en" w:bidi="ar"/>
              </w:rPr>
              <w:t>卫生健康委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515"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14</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照护服务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分散特困供养</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无劳动能力、无生活来源、无法定赡养扶养义务人或者其法定义务人无履行义务能力，自愿选择在家供养的60周岁及以上特困老年人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提供基本生活条件、疾病治疗、办理丧葬事宜等，基本生活标准不低于当地最低生活保障标准的1.3倍，对生活不能自理的按照有关规定给予照料</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18"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15</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照护服务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集中特困供养</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无劳动能力、无生活来源、无法定赡养扶养义务人或者其法定义务人无履行义务能力，自愿选择集中供养以及因失能等原因需要机构专业照护服务的60周岁及以上特困老年人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就近安排到相应供养服务机构，提供基本生活条件、疾病治疗、办理丧葬事宜等，基本生活标准不低于当地最低生活保障标准的1.3倍，对生活不能自理的按照有关规定给予照料</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341"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16</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照护服务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经济困难老年人家庭居家适老化改造</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纳入分散供养特困人员、脱贫户范围的高龄、失能、残疾老年人家庭；有条件的地方可以逐步扩大到城乡低保对象中的高龄、失能、留守、空巢、残疾老年人家庭和计划生育特殊家庭及其他困难老年人家庭</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采取政府补贴等方式，分年度逐步为经济困难</w:t>
            </w:r>
            <w:r>
              <w:rPr>
                <w:rFonts w:hint="eastAsia" w:ascii="仿宋_GB2312" w:hAnsi="仿宋_GB2312" w:eastAsia="仿宋_GB2312" w:cs="仿宋_GB2312"/>
                <w:kern w:val="0"/>
                <w:sz w:val="24"/>
                <w:u w:val="none"/>
                <w:lang w:bidi="ar"/>
              </w:rPr>
              <w:t>老年人提供适老化改造服务，改造内容包含地面改造、门改造、卧室改造、老年用品配置等七类。</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kern w:val="0"/>
                <w:sz w:val="24"/>
                <w:lang w:eastAsia="zh-CN" w:bidi="ar"/>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091"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kern w:val="0"/>
                <w:sz w:val="24"/>
                <w:lang w:val="en-US" w:eastAsia="zh-CN" w:bidi="ar"/>
              </w:rPr>
            </w:pPr>
            <w:r>
              <w:rPr>
                <w:rFonts w:hint="eastAsia" w:ascii="仿宋_GB2312" w:hAnsi="仿宋_GB2312" w:eastAsia="仿宋_GB2312" w:cs="仿宋_GB2312"/>
                <w:kern w:val="0"/>
                <w:sz w:val="24"/>
                <w:lang w:val="en-US" w:eastAsia="zh-CN" w:bidi="ar"/>
              </w:rPr>
              <w:t>17</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照护服务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color w:val="auto"/>
                <w:kern w:val="0"/>
                <w:sz w:val="24"/>
                <w:lang w:val="en-US" w:eastAsia="zh-CN" w:bidi="ar"/>
              </w:rPr>
            </w:pPr>
            <w:r>
              <w:rPr>
                <w:rFonts w:hint="eastAsia" w:ascii="仿宋_GB2312" w:hAnsi="仿宋_GB2312" w:eastAsia="仿宋_GB2312" w:cs="仿宋_GB2312"/>
                <w:color w:val="auto"/>
                <w:kern w:val="0"/>
                <w:sz w:val="24"/>
                <w:lang w:val="en-US" w:eastAsia="zh-CN" w:bidi="ar"/>
              </w:rPr>
              <w:t>家庭养老床位改造</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textAlignment w:val="center"/>
              <w:rPr>
                <w:rFonts w:hint="eastAsia" w:ascii="仿宋_GB2312" w:hAnsi="仿宋_GB2312" w:eastAsia="仿宋_GB2312" w:cs="仿宋_GB2312"/>
                <w:color w:val="auto"/>
                <w:kern w:val="0"/>
                <w:sz w:val="24"/>
                <w:lang w:val="en-US" w:eastAsia="zh-CN" w:bidi="ar"/>
              </w:rPr>
            </w:pPr>
            <w:r>
              <w:rPr>
                <w:rFonts w:hint="eastAsia" w:ascii="仿宋_GB2312" w:hAnsi="仿宋_GB2312" w:eastAsia="仿宋_GB2312" w:cs="仿宋_GB2312"/>
                <w:color w:val="auto"/>
                <w:kern w:val="0"/>
                <w:sz w:val="24"/>
                <w:lang w:val="en-US" w:eastAsia="zh-CN" w:bidi="ar"/>
              </w:rPr>
              <w:t>具有铅山县户籍并长期居住在河口镇辖区内社区的失智、失能和半失能老年人。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textAlignment w:val="center"/>
              <w:rPr>
                <w:rFonts w:hint="eastAsia" w:ascii="仿宋_GB2312" w:hAnsi="仿宋_GB2312" w:eastAsia="仿宋_GB2312" w:cs="仿宋_GB2312"/>
                <w:color w:val="auto"/>
                <w:kern w:val="0"/>
                <w:sz w:val="24"/>
                <w:lang w:val="en-US" w:eastAsia="zh-CN" w:bidi="ar"/>
              </w:rPr>
            </w:pPr>
            <w:r>
              <w:rPr>
                <w:rFonts w:hint="eastAsia" w:ascii="仿宋_GB2312" w:hAnsi="仿宋_GB2312" w:eastAsia="仿宋_GB2312" w:cs="仿宋_GB2312"/>
                <w:color w:val="auto"/>
                <w:kern w:val="0"/>
                <w:sz w:val="24"/>
                <w:lang w:val="en-US" w:eastAsia="zh-CN" w:bidi="ar"/>
              </w:rPr>
              <w:t>采取政府补贴等方式，为老年人提供生活生活照料服务；电子信息化服务；康复护理服务；保健护理服务；精神慰藉、文化娱乐等服务。</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color w:val="auto"/>
                <w:kern w:val="0"/>
                <w:sz w:val="24"/>
                <w:lang w:val="en-US" w:eastAsia="zh-CN" w:bidi="ar"/>
              </w:rPr>
            </w:pPr>
            <w:r>
              <w:rPr>
                <w:rFonts w:hint="eastAsia" w:ascii="仿宋_GB2312" w:hAnsi="仿宋_GB2312" w:eastAsia="仿宋_GB2312" w:cs="仿宋_GB2312"/>
                <w:color w:val="auto"/>
                <w:kern w:val="0"/>
                <w:sz w:val="24"/>
                <w:lang w:val="en-US" w:eastAsia="zh-CN" w:bidi="ar"/>
              </w:rPr>
              <w:t>县民政局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513"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kern w:val="0"/>
                <w:sz w:val="24"/>
                <w:lang w:val="en-US" w:eastAsia="zh-CN" w:bidi="ar"/>
              </w:rPr>
              <w:t>18</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照护服务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优先入住公办养老机构</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经济困难的空巢、独居、失能（失智）、残疾、高龄以及计划生育特殊家庭老年人、为国家和社会作出特殊贡献的老年人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建立公办养老机构轮候制度，符合条件的老年人优先入住</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08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kern w:val="0"/>
                <w:sz w:val="24"/>
                <w:lang w:val="en-US" w:eastAsia="zh-CN" w:bidi="ar"/>
              </w:rPr>
              <w:t>19</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照护服务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集中供养</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老年烈士遗属、因公牺牲军人遗属、病故军人遗属和进入老年的残疾军人、复员军人、退伍军人，无法定赡养扶养人或者其法定义务人无赡养扶养能力且享受国家定期抚恤补助待遇的老年优抚对象</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提供集中供养、医疗等保障</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退役军人事务局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115"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kern w:val="0"/>
                <w:sz w:val="24"/>
                <w:lang w:val="en-US" w:eastAsia="zh-CN" w:bidi="ar"/>
              </w:rPr>
              <w:t>20</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照护服务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家庭养老支持服务</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经认定生活不能自理的老年人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符合条件的失能老年人家庭成员参加照护培训等相关职业技能培训的，按照规定给予职业培训补贴</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kern w:val="0"/>
                <w:sz w:val="24"/>
                <w:lang w:eastAsia="zh-CN" w:bidi="ar"/>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lang w:val="en"/>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val="en" w:bidi="ar"/>
              </w:rPr>
              <w:t>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408"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val="en-US" w:eastAsia="zh-CN" w:bidi="ar"/>
              </w:rPr>
            </w:pPr>
            <w:r>
              <w:rPr>
                <w:rFonts w:hint="eastAsia" w:ascii="仿宋_GB2312" w:hAnsi="仿宋_GB2312" w:eastAsia="仿宋_GB2312" w:cs="仿宋_GB2312"/>
                <w:kern w:val="0"/>
                <w:sz w:val="24"/>
                <w:lang w:val="en-US" w:eastAsia="zh-CN" w:bidi="ar"/>
              </w:rPr>
              <w:t>21</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物质服务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u w:val="single"/>
                <w:lang w:bidi="ar"/>
              </w:rPr>
            </w:pPr>
            <w:r>
              <w:rPr>
                <w:rFonts w:hint="eastAsia" w:ascii="仿宋_GB2312" w:hAnsi="仿宋_GB2312" w:eastAsia="仿宋_GB2312" w:cs="仿宋_GB2312"/>
                <w:kern w:val="0"/>
                <w:sz w:val="24"/>
                <w:u w:val="none"/>
                <w:lang w:bidi="ar"/>
              </w:rPr>
              <w:t>长期护理保险</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kern w:val="0"/>
                <w:sz w:val="24"/>
                <w:u w:val="single"/>
                <w:lang w:bidi="ar"/>
              </w:rPr>
            </w:pPr>
            <w:r>
              <w:rPr>
                <w:rFonts w:hint="eastAsia" w:ascii="仿宋_GB2312" w:hAnsi="仿宋_GB2312" w:eastAsia="仿宋_GB2312" w:cs="仿宋_GB2312"/>
                <w:kern w:val="0"/>
                <w:sz w:val="24"/>
                <w:u w:val="none"/>
                <w:lang w:bidi="ar"/>
              </w:rPr>
              <w:t>为失能老年人提供专业照护服务</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u w:val="none"/>
                <w:lang w:bidi="ar"/>
              </w:rPr>
              <w:t>失能老年人享受小额补贴、居家上门护理服务和亲情护理服务。中度失能人员自主照料补助按照300元/人/月的标准发放，重度失能人员自主照料补助按照450元/人/月的标准发放；中度失能老人居家上门护理费用按照600元/人/月的标准支付给护理服务机构，重度失能老人居家上门护理费用按照900元/人/月的标准支付给护理服务机构；机构内中度失能老人护理费用按照900/人/月元的标准支付给护理服务机构，机构内重度失能人员护理费用按照1200元/人/月的标准支付给护理服务机构；重度失能人员居家上门产品（辅具）租赁费用按照300元/人/月的标准支付给提供护理产品租赁服务的机构。</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val="en" w:bidi="ar"/>
              </w:rPr>
            </w:pPr>
            <w:r>
              <w:rPr>
                <w:rFonts w:hint="eastAsia" w:ascii="仿宋_GB2312" w:hAnsi="仿宋_GB2312" w:eastAsia="仿宋_GB2312" w:cs="仿宋_GB2312"/>
                <w:kern w:val="0"/>
                <w:sz w:val="24"/>
                <w:lang w:val="en" w:eastAsia="zh-CN" w:bidi="ar"/>
              </w:rPr>
              <w:t>县</w:t>
            </w:r>
            <w:r>
              <w:rPr>
                <w:rFonts w:hint="eastAsia" w:ascii="仿宋_GB2312" w:hAnsi="仿宋_GB2312" w:eastAsia="仿宋_GB2312" w:cs="仿宋_GB2312"/>
                <w:kern w:val="0"/>
                <w:sz w:val="24"/>
                <w:lang w:val="en" w:bidi="ar"/>
              </w:rPr>
              <w:t>医疗保障局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08"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kern w:val="0"/>
                <w:sz w:val="24"/>
                <w:lang w:val="en-US" w:eastAsia="zh-CN" w:bidi="ar"/>
              </w:rPr>
              <w:t>22</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关爱服务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老年人探访服务</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居家的独居、空巢、留守、失能失智、重残、计划生育特殊家庭等困难老年人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全面建立居家探访巡访制度，通过政府购买服务等方式，支持基层组织、社会组织、</w:t>
            </w:r>
            <w:r>
              <w:rPr>
                <w:rFonts w:hint="eastAsia" w:ascii="仿宋_GB2312" w:hAnsi="仿宋_GB2312" w:eastAsia="仿宋_GB2312" w:cs="仿宋_GB2312"/>
                <w:kern w:val="0"/>
                <w:sz w:val="24"/>
                <w:u w:val="none"/>
                <w:lang w:bidi="ar"/>
              </w:rPr>
              <w:t>乡镇（</w:t>
            </w:r>
            <w:r>
              <w:rPr>
                <w:rFonts w:hint="eastAsia" w:ascii="仿宋_GB2312" w:hAnsi="仿宋_GB2312" w:eastAsia="仿宋_GB2312" w:cs="仿宋_GB2312"/>
                <w:kern w:val="0"/>
                <w:sz w:val="24"/>
                <w:u w:val="none"/>
                <w:lang w:eastAsia="zh-CN" w:bidi="ar"/>
              </w:rPr>
              <w:t>办事处）</w:t>
            </w:r>
            <w:r>
              <w:rPr>
                <w:rFonts w:hint="eastAsia" w:ascii="仿宋_GB2312" w:hAnsi="仿宋_GB2312" w:eastAsia="仿宋_GB2312" w:cs="仿宋_GB2312"/>
                <w:kern w:val="0"/>
                <w:sz w:val="24"/>
                <w:u w:val="none"/>
                <w:lang w:bidi="ar"/>
              </w:rPr>
              <w:t>民政服务站、社区网格员</w:t>
            </w:r>
            <w:r>
              <w:rPr>
                <w:rFonts w:hint="eastAsia" w:ascii="仿宋_GB2312" w:hAnsi="仿宋_GB2312" w:eastAsia="仿宋_GB2312" w:cs="仿宋_GB2312"/>
                <w:kern w:val="0"/>
                <w:sz w:val="24"/>
                <w:lang w:bidi="ar"/>
              </w:rPr>
              <w:t>等定期开展探访和帮扶服务</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2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kern w:val="0"/>
                <w:sz w:val="24"/>
                <w:lang w:val="en-US" w:eastAsia="zh-CN" w:bidi="ar"/>
              </w:rPr>
              <w:t>23</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关爱服务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val="en-US" w:eastAsia="zh-CN" w:bidi="ar"/>
              </w:rPr>
              <w:t>老年人</w:t>
            </w:r>
            <w:r>
              <w:rPr>
                <w:rFonts w:hint="eastAsia" w:ascii="仿宋_GB2312" w:hAnsi="仿宋_GB2312" w:eastAsia="仿宋_GB2312" w:cs="仿宋_GB2312"/>
                <w:kern w:val="0"/>
                <w:sz w:val="24"/>
                <w:lang w:bidi="ar"/>
              </w:rPr>
              <w:t>意外伤害保险</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60周岁以上城乡特困老年人、重点优抚对象和70周岁以上所有老年人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在生产、生活的各种场所，包括在居家生活、乘坐公共交通工具、参加公共场所活动、入住养老服务机构、外出旅游时发生的各种意外伤害事故，均纳入意外伤害保险责任范围。</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kern w:val="0"/>
                <w:sz w:val="24"/>
                <w:lang w:val="en-US" w:eastAsia="zh-CN" w:bidi="ar"/>
              </w:rPr>
              <w:t>24</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关爱服务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健康管理</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65周岁及以上老年人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建立电子健康档案，按照全省基本公共卫生服务实施方案的要求，每年提供一次免费的健康体检服务，</w:t>
            </w:r>
            <w:r>
              <w:rPr>
                <w:rFonts w:hint="eastAsia" w:ascii="仿宋_GB2312" w:hAnsi="仿宋_GB2312" w:eastAsia="仿宋_GB2312" w:cs="仿宋_GB2312"/>
                <w:kern w:val="0"/>
                <w:sz w:val="24"/>
                <w:u w:val="none"/>
                <w:lang w:bidi="ar"/>
              </w:rPr>
              <w:t>结合实际开展老年人认知功能初筛服务，</w:t>
            </w:r>
            <w:r>
              <w:rPr>
                <w:rFonts w:hint="eastAsia" w:ascii="仿宋_GB2312" w:hAnsi="仿宋_GB2312" w:eastAsia="仿宋_GB2312" w:cs="仿宋_GB2312"/>
                <w:kern w:val="0"/>
                <w:sz w:val="24"/>
                <w:lang w:bidi="ar"/>
              </w:rPr>
              <w:t>开展生活方式和健康状况评估、体格检查、健康教育指导等</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24"/>
                <w:lang w:val="en"/>
              </w:rPr>
            </w:pPr>
            <w:r>
              <w:rPr>
                <w:rFonts w:hint="eastAsia" w:ascii="仿宋_GB2312" w:hAnsi="仿宋_GB2312" w:eastAsia="仿宋_GB2312" w:cs="仿宋_GB2312"/>
                <w:kern w:val="0"/>
                <w:sz w:val="24"/>
                <w:lang w:val="en" w:eastAsia="zh-CN" w:bidi="ar"/>
              </w:rPr>
              <w:t>县</w:t>
            </w:r>
            <w:r>
              <w:rPr>
                <w:rFonts w:hint="eastAsia" w:ascii="仿宋_GB2312" w:hAnsi="仿宋_GB2312" w:eastAsia="仿宋_GB2312" w:cs="仿宋_GB2312"/>
                <w:kern w:val="0"/>
                <w:sz w:val="24"/>
                <w:lang w:val="en" w:bidi="ar"/>
              </w:rPr>
              <w:t>卫生健康委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kern w:val="0"/>
                <w:sz w:val="24"/>
                <w:lang w:val="en-US" w:eastAsia="zh-CN" w:bidi="ar"/>
              </w:rPr>
              <w:t>25</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关爱服务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就医便利服务</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60周岁及以上老年人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医疗卫生机构为老年人就医提供方便、优先服务</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lang w:val="en"/>
              </w:rPr>
            </w:pPr>
            <w:r>
              <w:rPr>
                <w:rFonts w:hint="eastAsia" w:ascii="仿宋_GB2312" w:hAnsi="仿宋_GB2312" w:eastAsia="仿宋_GB2312" w:cs="仿宋_GB2312"/>
                <w:kern w:val="0"/>
                <w:sz w:val="24"/>
                <w:lang w:val="en" w:eastAsia="zh-CN" w:bidi="ar"/>
              </w:rPr>
              <w:t>县</w:t>
            </w:r>
            <w:r>
              <w:rPr>
                <w:rFonts w:hint="eastAsia" w:ascii="仿宋_GB2312" w:hAnsi="仿宋_GB2312" w:eastAsia="仿宋_GB2312" w:cs="仿宋_GB2312"/>
                <w:kern w:val="0"/>
                <w:sz w:val="24"/>
                <w:lang w:val="en" w:bidi="ar"/>
              </w:rPr>
              <w:t>卫生健康委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val="en-US" w:eastAsia="zh-CN" w:bidi="ar"/>
              </w:rPr>
            </w:pPr>
            <w:r>
              <w:rPr>
                <w:rFonts w:hint="eastAsia" w:ascii="仿宋_GB2312" w:hAnsi="仿宋_GB2312" w:eastAsia="仿宋_GB2312" w:cs="仿宋_GB2312"/>
                <w:kern w:val="0"/>
                <w:sz w:val="24"/>
                <w:lang w:val="en-US" w:eastAsia="zh-CN" w:bidi="ar"/>
              </w:rPr>
              <w:t>26</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关爱服务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基本医疗保险异地就医结算</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符合转诊条件的老年人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开通异地就医直接结算服务的定点医疗机构为符合转诊条件的老年人提供相应的结算清单</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val="en" w:bidi="ar"/>
              </w:rPr>
            </w:pPr>
            <w:r>
              <w:rPr>
                <w:rFonts w:hint="eastAsia" w:ascii="仿宋_GB2312" w:hAnsi="仿宋_GB2312" w:eastAsia="仿宋_GB2312" w:cs="仿宋_GB2312"/>
                <w:kern w:val="0"/>
                <w:sz w:val="24"/>
                <w:lang w:val="en" w:eastAsia="zh-CN" w:bidi="ar"/>
              </w:rPr>
              <w:t>县</w:t>
            </w:r>
            <w:r>
              <w:rPr>
                <w:rFonts w:hint="eastAsia" w:ascii="仿宋_GB2312" w:hAnsi="仿宋_GB2312" w:eastAsia="仿宋_GB2312" w:cs="仿宋_GB2312"/>
                <w:kern w:val="0"/>
                <w:sz w:val="24"/>
                <w:lang w:val="en" w:bidi="ar"/>
              </w:rPr>
              <w:t>医疗保障局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27</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关爱服务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老年教育</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退休和60周岁及以上老年人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u w:val="none"/>
                <w:lang w:bidi="ar"/>
              </w:rPr>
              <w:t>采取</w:t>
            </w:r>
            <w:r>
              <w:rPr>
                <w:rFonts w:hint="eastAsia" w:ascii="仿宋_GB2312" w:hAnsi="仿宋_GB2312" w:eastAsia="仿宋_GB2312" w:cs="仿宋_GB2312"/>
                <w:kern w:val="0"/>
                <w:sz w:val="24"/>
                <w:u w:val="none"/>
                <w:lang w:eastAsia="zh-CN" w:bidi="ar"/>
              </w:rPr>
              <w:t>县</w:t>
            </w:r>
            <w:r>
              <w:rPr>
                <w:rFonts w:hint="eastAsia" w:ascii="仿宋_GB2312" w:hAnsi="仿宋_GB2312" w:eastAsia="仿宋_GB2312" w:cs="仿宋_GB2312"/>
                <w:kern w:val="0"/>
                <w:sz w:val="24"/>
                <w:u w:val="none"/>
                <w:lang w:bidi="ar"/>
              </w:rPr>
              <w:t>老年大学的形式开展老年教育，</w:t>
            </w:r>
            <w:r>
              <w:rPr>
                <w:rFonts w:hint="eastAsia" w:ascii="仿宋_GB2312" w:hAnsi="仿宋_GB2312" w:eastAsia="仿宋_GB2312" w:cs="仿宋_GB2312"/>
                <w:kern w:val="0"/>
                <w:sz w:val="24"/>
                <w:lang w:bidi="ar"/>
              </w:rPr>
              <w:t>老年开放大学、老年大学（学校）、社区老年教育教学点为老年人开展学习活动提供便利和优惠服务，减免贫困老年人进入老年大学（学校）学习的学费</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教</w:t>
            </w:r>
            <w:r>
              <w:rPr>
                <w:rFonts w:hint="eastAsia" w:ascii="仿宋_GB2312" w:hAnsi="仿宋_GB2312" w:eastAsia="仿宋_GB2312" w:cs="仿宋_GB2312"/>
                <w:kern w:val="0"/>
                <w:sz w:val="24"/>
                <w:lang w:eastAsia="zh-CN" w:bidi="ar"/>
              </w:rPr>
              <w:t>体</w:t>
            </w:r>
            <w:r>
              <w:rPr>
                <w:rFonts w:hint="eastAsia" w:ascii="仿宋_GB2312" w:hAnsi="仿宋_GB2312" w:eastAsia="仿宋_GB2312" w:cs="仿宋_GB2312"/>
                <w:kern w:val="0"/>
                <w:sz w:val="24"/>
                <w:lang w:bidi="ar"/>
              </w:rPr>
              <w:t>局</w:t>
            </w:r>
          </w:p>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28</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关爱服务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进入文化旅游设施</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65周岁及以上老年人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政府兴办的或支持的公园、景点免购门票，免费进入公共文化馆、图书馆、博物馆、科技馆、美术馆、纪念馆、展览馆等场所</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bidi="ar"/>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文广新旅局</w:t>
            </w:r>
          </w:p>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kern w:val="0"/>
                <w:sz w:val="24"/>
                <w:lang w:eastAsia="zh-CN" w:bidi="ar"/>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教</w:t>
            </w:r>
            <w:r>
              <w:rPr>
                <w:rFonts w:hint="eastAsia" w:ascii="仿宋_GB2312" w:hAnsi="仿宋_GB2312" w:eastAsia="仿宋_GB2312" w:cs="仿宋_GB2312"/>
                <w:kern w:val="0"/>
                <w:sz w:val="24"/>
                <w:lang w:eastAsia="zh-CN" w:bidi="ar"/>
              </w:rPr>
              <w:t>体</w:t>
            </w:r>
            <w:r>
              <w:rPr>
                <w:rFonts w:hint="eastAsia" w:ascii="仿宋_GB2312" w:hAnsi="仿宋_GB2312" w:eastAsia="仿宋_GB2312" w:cs="仿宋_GB2312"/>
                <w:kern w:val="0"/>
                <w:sz w:val="24"/>
                <w:lang w:bidi="ar"/>
              </w:rPr>
              <w:t>局</w:t>
            </w:r>
          </w:p>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lang w:val="en"/>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val="en" w:bidi="ar"/>
              </w:rPr>
              <w:t>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29</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关爱服务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乘坐城市公共交通工具</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u w:val="none"/>
                <w:lang w:bidi="ar"/>
              </w:rPr>
              <w:t>60周岁及以上老年人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u w:val="none"/>
                <w:lang w:bidi="ar"/>
              </w:rPr>
              <w:t>60-65周岁的老年人享受4.5折乘车优惠，</w:t>
            </w:r>
            <w:r>
              <w:rPr>
                <w:rFonts w:hint="eastAsia" w:ascii="仿宋_GB2312" w:hAnsi="仿宋_GB2312" w:eastAsia="仿宋_GB2312" w:cs="仿宋_GB2312"/>
                <w:kern w:val="0"/>
                <w:sz w:val="24"/>
                <w:lang w:bidi="ar"/>
              </w:rPr>
              <w:t>65周岁以上老年人免费乘坐公共汽车</w:t>
            </w:r>
            <w:r>
              <w:rPr>
                <w:rFonts w:hint="eastAsia" w:ascii="仿宋_GB2312" w:hAnsi="仿宋_GB2312" w:eastAsia="仿宋_GB2312" w:cs="仿宋_GB2312"/>
                <w:kern w:val="0"/>
                <w:sz w:val="24"/>
                <w:lang w:eastAsia="zh-CN" w:bidi="ar"/>
              </w:rPr>
              <w:t>等</w:t>
            </w:r>
            <w:r>
              <w:rPr>
                <w:rFonts w:hint="eastAsia" w:ascii="仿宋_GB2312" w:hAnsi="仿宋_GB2312" w:eastAsia="仿宋_GB2312" w:cs="仿宋_GB2312"/>
                <w:kern w:val="0"/>
                <w:sz w:val="24"/>
                <w:lang w:bidi="ar"/>
              </w:rPr>
              <w:t>城市公共交通工具</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交通运输</w:t>
            </w:r>
            <w:r>
              <w:rPr>
                <w:rStyle w:val="71"/>
                <w:rFonts w:hint="eastAsia" w:ascii="仿宋_GB2312" w:hAnsi="仿宋_GB2312" w:eastAsia="仿宋_GB2312" w:cs="仿宋_GB2312"/>
                <w:color w:val="auto"/>
                <w:lang w:bidi="ar"/>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0" w:hRule="atLeast"/>
          <w:jc w:val="center"/>
        </w:trPr>
        <w:tc>
          <w:tcPr>
            <w:tcW w:w="7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kern w:val="0"/>
                <w:sz w:val="24"/>
                <w:lang w:val="en-US" w:eastAsia="zh-CN" w:bidi="ar"/>
              </w:rPr>
              <w:t>30</w:t>
            </w:r>
          </w:p>
        </w:tc>
        <w:tc>
          <w:tcPr>
            <w:tcW w:w="123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关爱服务</w:t>
            </w:r>
          </w:p>
        </w:tc>
        <w:tc>
          <w:tcPr>
            <w:tcW w:w="2209"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自愿随子女迁移户口</w:t>
            </w:r>
          </w:p>
        </w:tc>
        <w:tc>
          <w:tcPr>
            <w:tcW w:w="3173"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60周岁及以上老年人</w:t>
            </w:r>
          </w:p>
        </w:tc>
        <w:tc>
          <w:tcPr>
            <w:tcW w:w="5041"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bidi="ar"/>
              </w:rPr>
              <w:t>老年人可自愿随子女迁移户口，依法依规享受迁入的基本公共服务。对行动不便的老年人办理居民身份证等证件提供上门人像采集、送证等便利服务</w:t>
            </w:r>
          </w:p>
        </w:tc>
        <w:tc>
          <w:tcPr>
            <w:tcW w:w="1860" w:type="dxa"/>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kern w:val="0"/>
                <w:sz w:val="24"/>
                <w:lang w:eastAsia="zh-CN" w:bidi="ar"/>
              </w:rPr>
              <w:t>县</w:t>
            </w:r>
            <w:r>
              <w:rPr>
                <w:rFonts w:hint="eastAsia" w:ascii="仿宋_GB2312" w:hAnsi="仿宋_GB2312" w:eastAsia="仿宋_GB2312" w:cs="仿宋_GB2312"/>
                <w:kern w:val="0"/>
                <w:sz w:val="24"/>
                <w:lang w:bidi="ar"/>
              </w:rPr>
              <w:t>公安局</w:t>
            </w:r>
          </w:p>
        </w:tc>
      </w:tr>
    </w:tbl>
    <w:p>
      <w:pPr>
        <w:pageBreakBefore w:val="0"/>
        <w:kinsoku/>
        <w:overflowPunct/>
        <w:topLinePunct w:val="0"/>
        <w:autoSpaceDE/>
        <w:autoSpaceDN/>
        <w:bidi w:val="0"/>
        <w:adjustRightInd/>
        <w:snapToGrid/>
        <w:spacing w:line="560" w:lineRule="exact"/>
        <w:rPr>
          <w:rFonts w:ascii="Times New Roman" w:hAnsi="宋体"/>
          <w:sz w:val="24"/>
        </w:rPr>
      </w:pPr>
      <w:r>
        <w:rPr>
          <w:rFonts w:ascii="Times New Roman" w:hAnsi="宋体"/>
          <w:sz w:val="24"/>
        </w:rPr>
        <w:t>注：标</w:t>
      </w:r>
      <w:r>
        <w:rPr>
          <w:rFonts w:ascii="Times New Roman" w:hAnsi="Times New Roman"/>
          <w:sz w:val="24"/>
        </w:rPr>
        <w:t>“*”</w:t>
      </w:r>
      <w:r>
        <w:rPr>
          <w:rFonts w:ascii="Times New Roman" w:hAnsi="宋体"/>
          <w:sz w:val="24"/>
        </w:rPr>
        <w:t>的为</w:t>
      </w:r>
      <w:r>
        <w:rPr>
          <w:rFonts w:hint="eastAsia" w:hAnsi="宋体"/>
          <w:sz w:val="24"/>
          <w:lang w:eastAsia="zh-CN"/>
        </w:rPr>
        <w:t>上饶市</w:t>
      </w:r>
      <w:r>
        <w:rPr>
          <w:rFonts w:ascii="Times New Roman" w:hAnsi="宋体"/>
          <w:sz w:val="24"/>
          <w:lang w:val="en"/>
        </w:rPr>
        <w:t>在省级养老服务清单基础上</w:t>
      </w:r>
      <w:r>
        <w:rPr>
          <w:rFonts w:ascii="Times New Roman" w:hAnsi="宋体"/>
          <w:sz w:val="24"/>
        </w:rPr>
        <w:t>增加的项目</w:t>
      </w:r>
    </w:p>
    <w:p>
      <w:pPr>
        <w:pStyle w:val="16"/>
        <w:rPr>
          <w:rFonts w:ascii="Times New Roman" w:hAnsi="宋体"/>
          <w:sz w:val="24"/>
        </w:rPr>
      </w:pPr>
    </w:p>
    <w:p>
      <w:pPr>
        <w:pStyle w:val="17"/>
        <w:rPr>
          <w:rFonts w:ascii="Times New Roman" w:hAnsi="宋体"/>
          <w:sz w:val="24"/>
        </w:rPr>
      </w:pPr>
    </w:p>
    <w:p>
      <w:pPr>
        <w:pStyle w:val="18"/>
        <w:rPr>
          <w:rFonts w:ascii="Times New Roman" w:hAnsi="宋体"/>
          <w:sz w:val="24"/>
        </w:rPr>
      </w:pPr>
    </w:p>
    <w:p>
      <w:pPr>
        <w:rPr>
          <w:rFonts w:ascii="Times New Roman" w:hAnsi="宋体"/>
          <w:sz w:val="24"/>
        </w:rPr>
      </w:pPr>
    </w:p>
    <w:p>
      <w:pPr>
        <w:pStyle w:val="16"/>
        <w:rPr>
          <w:rFonts w:ascii="Times New Roman" w:hAnsi="宋体"/>
          <w:sz w:val="24"/>
        </w:rPr>
      </w:pPr>
    </w:p>
    <w:p>
      <w:pPr>
        <w:pStyle w:val="17"/>
        <w:rPr>
          <w:rFonts w:ascii="Times New Roman" w:hAnsi="宋体"/>
          <w:sz w:val="24"/>
        </w:rPr>
      </w:pPr>
    </w:p>
    <w:p>
      <w:pPr>
        <w:pStyle w:val="18"/>
        <w:rPr>
          <w:rFonts w:ascii="Times New Roman" w:hAnsi="宋体"/>
          <w:sz w:val="24"/>
        </w:rPr>
      </w:pPr>
    </w:p>
    <w:p>
      <w:pPr>
        <w:rPr>
          <w:rFonts w:ascii="Times New Roman" w:hAnsi="宋体"/>
          <w:sz w:val="24"/>
        </w:rPr>
      </w:pPr>
    </w:p>
    <w:p>
      <w:pPr>
        <w:pStyle w:val="16"/>
        <w:rPr>
          <w:rFonts w:ascii="Times New Roman" w:hAnsi="宋体"/>
          <w:sz w:val="24"/>
        </w:rPr>
      </w:pPr>
    </w:p>
    <w:p>
      <w:pPr>
        <w:pStyle w:val="17"/>
        <w:rPr>
          <w:rFonts w:ascii="Times New Roman" w:hAnsi="宋体"/>
          <w:sz w:val="24"/>
        </w:rPr>
      </w:pPr>
    </w:p>
    <w:p>
      <w:pPr>
        <w:pStyle w:val="18"/>
        <w:rPr>
          <w:rFonts w:ascii="Times New Roman" w:hAnsi="宋体"/>
          <w:sz w:val="24"/>
        </w:rPr>
      </w:pPr>
    </w:p>
    <w:p>
      <w:pPr>
        <w:rPr>
          <w:rFonts w:ascii="Times New Roman" w:hAnsi="宋体"/>
          <w:sz w:val="24"/>
        </w:rPr>
      </w:pPr>
    </w:p>
    <w:p>
      <w:pPr>
        <w:pStyle w:val="16"/>
      </w:pPr>
    </w:p>
    <w:p>
      <w:pPr>
        <w:pStyle w:val="18"/>
        <w:rPr>
          <w:rFonts w:ascii="Times New Roman" w:hAnsi="宋体"/>
          <w:sz w:val="24"/>
        </w:rPr>
      </w:pPr>
    </w:p>
    <w:p>
      <w:pPr>
        <w:rPr>
          <w:rFonts w:ascii="Times New Roman" w:hAnsi="宋体"/>
          <w:sz w:val="24"/>
        </w:rPr>
      </w:pPr>
    </w:p>
    <w:p>
      <w:pPr>
        <w:pStyle w:val="16"/>
        <w:rPr>
          <w:rFonts w:ascii="Times New Roman" w:hAnsi="宋体"/>
          <w:sz w:val="24"/>
        </w:rPr>
      </w:pPr>
    </w:p>
    <w:p>
      <w:pPr>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jc w:val="both"/>
        <w:textAlignment w:val="auto"/>
        <w:outlineLvl w:val="9"/>
        <w:rPr>
          <w:rFonts w:hint="eastAsia" w:ascii="仿宋_GB2312" w:hAnsi="仿宋_GB2312" w:eastAsia="仿宋_GB2312" w:cs="仿宋_GB2312"/>
          <w:spacing w:val="0"/>
          <w:sz w:val="28"/>
          <w:szCs w:val="28"/>
          <w:u w:val="none"/>
          <w:lang w:val="en-US" w:eastAsia="zh-CN"/>
        </w:rPr>
      </w:pPr>
      <w:r>
        <w:rPr>
          <w:rFonts w:hint="eastAsia" w:ascii="仿宋_GB2312" w:hAnsi="仿宋_GB2312" w:eastAsia="仿宋_GB2312" w:cs="仿宋_GB2312"/>
          <w:spacing w:val="0"/>
          <w:sz w:val="28"/>
          <w:szCs w:val="28"/>
          <w:u w:val="thick"/>
          <w:lang w:val="en-US" w:eastAsia="zh-CN"/>
        </w:rPr>
        <w:t xml:space="preserve">                                                                                         </w:t>
      </w:r>
      <w:r>
        <w:rPr>
          <w:rFonts w:hint="eastAsia" w:ascii="仿宋_GB2312" w:hAnsi="仿宋_GB2312" w:eastAsia="仿宋_GB2312" w:cs="仿宋_GB2312"/>
          <w:spacing w:val="0"/>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0" w:firstLineChars="0"/>
        <w:jc w:val="both"/>
        <w:textAlignment w:val="auto"/>
        <w:outlineLvl w:val="9"/>
        <w:rPr>
          <w:rFonts w:hint="eastAsia"/>
          <w:b w:val="0"/>
          <w:i w:val="0"/>
          <w:caps w:val="0"/>
          <w:spacing w:val="0"/>
          <w:w w:val="100"/>
          <w:sz w:val="21"/>
          <w:lang w:val="en-US" w:eastAsia="zh-CN"/>
        </w:rPr>
      </w:pPr>
      <w:r>
        <w:rPr>
          <w:rFonts w:hint="eastAsia" w:ascii="仿宋_GB2312" w:hAnsi="仿宋_GB2312" w:eastAsia="仿宋_GB2312" w:cs="仿宋_GB2312"/>
          <w:spacing w:val="0"/>
          <w:sz w:val="28"/>
          <w:szCs w:val="28"/>
          <w:u w:val="thick" w:color="auto"/>
          <w:lang w:val="en-US" w:eastAsia="zh-CN"/>
        </w:rPr>
        <w:t xml:space="preserve">  铅山县人民政府办公室秘书股                                          2023年10月</w:t>
      </w:r>
      <w:r>
        <w:rPr>
          <w:rFonts w:hint="eastAsia" w:ascii="仿宋_GB2312" w:hAnsi="仿宋_GB2312" w:cs="仿宋_GB2312"/>
          <w:spacing w:val="0"/>
          <w:sz w:val="28"/>
          <w:szCs w:val="28"/>
          <w:u w:val="thick" w:color="auto"/>
          <w:lang w:val="en-US" w:eastAsia="zh-CN"/>
        </w:rPr>
        <w:t>13</w:t>
      </w:r>
      <w:r>
        <w:rPr>
          <w:rFonts w:hint="eastAsia" w:ascii="仿宋_GB2312" w:hAnsi="仿宋_GB2312" w:eastAsia="仿宋_GB2312" w:cs="仿宋_GB2312"/>
          <w:spacing w:val="0"/>
          <w:sz w:val="28"/>
          <w:szCs w:val="28"/>
          <w:u w:val="thick" w:color="auto"/>
          <w:lang w:val="en-US" w:eastAsia="zh-CN"/>
        </w:rPr>
        <w:t xml:space="preserve">日印发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小标宋简体" w:hAnsi="方正小标宋简体" w:eastAsia="方正小标宋简体" w:cs="方正小标宋简体"/>
          <w:sz w:val="44"/>
          <w:szCs w:val="44"/>
          <w:lang w:val="en-US" w:eastAsia="zh-CN"/>
        </w:rPr>
        <w:sectPr>
          <w:footerReference r:id="rId9" w:type="default"/>
          <w:pgSz w:w="16838" w:h="11906" w:orient="landscape"/>
          <w:pgMar w:top="1587" w:right="2098" w:bottom="1474" w:left="1984" w:header="851" w:footer="992" w:gutter="0"/>
          <w:pgNumType w:fmt="decimal" w:start="98"/>
          <w:cols w:space="0" w:num="1"/>
          <w:rtlGutter w:val="0"/>
          <w:docGrid w:type="lines" w:linePitch="315"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铅山县制造业重点产业链现代化建设“639”</w:t>
      </w:r>
    </w:p>
    <w:p>
      <w:pPr>
        <w:keepNext w:val="0"/>
        <w:keepLines w:val="0"/>
        <w:pageBreakBefore w:val="0"/>
        <w:widowControl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color w:val="000000" w:themeColor="text1"/>
          <w:sz w:val="44"/>
          <w:szCs w:val="44"/>
          <w:u w:val="none"/>
          <w:lang w:val="en" w:eastAsia="zh-CN"/>
          <w14:textFill>
            <w14:solidFill>
              <w14:schemeClr w14:val="tx1"/>
            </w14:solidFill>
          </w14:textFill>
        </w:rPr>
      </w:pPr>
      <w:r>
        <w:rPr>
          <w:rFonts w:hint="eastAsia" w:ascii="方正小标宋简体" w:hAnsi="方正小标宋简体" w:eastAsia="方正小标宋简体" w:cs="方正小标宋简体"/>
          <w:color w:val="000000"/>
          <w:kern w:val="0"/>
          <w:sz w:val="44"/>
          <w:szCs w:val="44"/>
          <w:lang w:val="en-US" w:eastAsia="zh-CN" w:bidi="ar"/>
        </w:rPr>
        <w:t>行动计划</w:t>
      </w:r>
      <w:r>
        <w:rPr>
          <w:rFonts w:hint="eastAsia" w:ascii="方正小标宋简体" w:hAnsi="方正小标宋简体" w:eastAsia="方正小标宋简体" w:cs="方正小标宋简体"/>
          <w:b w:val="0"/>
          <w:bCs/>
          <w:color w:val="000000" w:themeColor="text1"/>
          <w:sz w:val="44"/>
          <w:szCs w:val="44"/>
          <w:u w:val="none"/>
          <w14:textFill>
            <w14:solidFill>
              <w14:schemeClr w14:val="tx1"/>
            </w14:solidFill>
          </w14:textFill>
        </w:rPr>
        <w:t>（2023—202</w:t>
      </w:r>
      <w:r>
        <w:rPr>
          <w:rFonts w:hint="eastAsia" w:ascii="方正小标宋简体" w:hAnsi="方正小标宋简体" w:eastAsia="方正小标宋简体" w:cs="方正小标宋简体"/>
          <w:b w:val="0"/>
          <w:bCs/>
          <w:color w:val="000000" w:themeColor="text1"/>
          <w:sz w:val="44"/>
          <w:szCs w:val="44"/>
          <w:u w:val="none"/>
          <w:lang w:val="en-US" w:eastAsia="zh-CN"/>
          <w14:textFill>
            <w14:solidFill>
              <w14:schemeClr w14:val="tx1"/>
            </w14:solidFill>
          </w14:textFill>
        </w:rPr>
        <w:t>6</w:t>
      </w:r>
      <w:r>
        <w:rPr>
          <w:rFonts w:hint="eastAsia" w:ascii="方正小标宋简体" w:hAnsi="方正小标宋简体" w:eastAsia="方正小标宋简体" w:cs="方正小标宋简体"/>
          <w:b w:val="0"/>
          <w:bCs/>
          <w:color w:val="000000" w:themeColor="text1"/>
          <w:sz w:val="44"/>
          <w:szCs w:val="44"/>
          <w:u w:val="none"/>
          <w14:textFill>
            <w14:solidFill>
              <w14:schemeClr w14:val="tx1"/>
            </w14:solidFill>
          </w14:textFill>
        </w:rPr>
        <w:t>年）</w:t>
      </w:r>
    </w:p>
    <w:p>
      <w:pPr>
        <w:keepNext w:val="0"/>
        <w:keepLines w:val="0"/>
        <w:pageBreakBefore w:val="0"/>
        <w:widowControl w:val="0"/>
        <w:kinsoku/>
        <w:wordWrap/>
        <w:overflowPunct/>
        <w:topLinePunct w:val="0"/>
        <w:autoSpaceDE/>
        <w:autoSpaceDN/>
        <w:bidi w:val="0"/>
        <w:adjustRightInd/>
        <w:snapToGrid/>
        <w:spacing w:line="560" w:lineRule="exact"/>
        <w:rPr>
          <w:rFonts w:hint="default" w:ascii="Calibri" w:hAnsi="Calibri" w:eastAsia="宋体" w:cs="Times New Roman"/>
          <w:kern w:val="2"/>
          <w:sz w:val="21"/>
          <w:szCs w:val="24"/>
          <w:u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210" w:leftChars="-100" w:firstLine="640" w:firstLineChars="200"/>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sz w:val="32"/>
          <w:szCs w:val="32"/>
        </w:rPr>
        <w:t>为全面贯彻落实</w:t>
      </w:r>
      <w:r>
        <w:rPr>
          <w:rFonts w:hint="eastAsia" w:ascii="仿宋_GB2312" w:hAnsi="仿宋_GB2312" w:eastAsia="仿宋_GB2312" w:cs="仿宋_GB2312"/>
          <w:sz w:val="32"/>
          <w:szCs w:val="32"/>
          <w:lang w:eastAsia="zh-CN"/>
        </w:rPr>
        <w:t>省</w:t>
      </w:r>
      <w:r>
        <w:rPr>
          <w:rFonts w:hint="eastAsia" w:ascii="仿宋_GB2312" w:hAnsi="仿宋_GB2312" w:eastAsia="仿宋_GB2312" w:cs="仿宋_GB2312"/>
          <w:sz w:val="32"/>
          <w:szCs w:val="32"/>
          <w:lang w:val="en-US" w:eastAsia="zh-CN"/>
        </w:rPr>
        <w:t>市制造业重点产业链现代建设“1269”行动计划，深入打好产业基础高级化和产业链攻坚战，提升产业链韧性和安全水平，加快建设具有铅山特色的现代化产业体系，</w:t>
      </w:r>
      <w:r>
        <w:rPr>
          <w:rFonts w:hint="eastAsia" w:ascii="仿宋_GB2312" w:hAnsi="仿宋_GB2312" w:eastAsia="仿宋_GB2312" w:cs="仿宋_GB2312"/>
          <w:sz w:val="32"/>
          <w:szCs w:val="32"/>
          <w:lang w:eastAsia="zh-CN"/>
        </w:rPr>
        <w:t>特</w:t>
      </w:r>
      <w:r>
        <w:rPr>
          <w:rFonts w:hint="eastAsia" w:ascii="仿宋_GB2312" w:hAnsi="仿宋_GB2312" w:eastAsia="仿宋_GB2312" w:cs="仿宋_GB2312"/>
          <w:sz w:val="32"/>
          <w:szCs w:val="32"/>
        </w:rPr>
        <w:t>制定</w:t>
      </w:r>
      <w:r>
        <w:rPr>
          <w:rFonts w:hint="eastAsia" w:ascii="仿宋_GB2312" w:hAnsi="仿宋_GB2312" w:eastAsia="仿宋_GB2312" w:cs="仿宋_GB2312"/>
          <w:color w:val="000000"/>
          <w:kern w:val="0"/>
          <w:sz w:val="32"/>
          <w:szCs w:val="32"/>
          <w:lang w:val="en-US" w:eastAsia="zh-CN" w:bidi="ar"/>
        </w:rPr>
        <w:t>《铅山县制造业重点产业链现代化建设“639”行动计划（2023-2026年）》（以下简称“产业链现代化</w:t>
      </w:r>
      <w:r>
        <w:rPr>
          <w:rFonts w:hint="eastAsia" w:ascii="仿宋_GB2312" w:hAnsi="仿宋_GB2312" w:eastAsia="仿宋_GB2312" w:cs="仿宋_GB2312"/>
          <w:color w:val="000000"/>
          <w:kern w:val="0"/>
          <w:sz w:val="32"/>
          <w:szCs w:val="32"/>
          <w:highlight w:val="none"/>
          <w:lang w:val="en-US" w:eastAsia="zh-CN" w:bidi="ar"/>
        </w:rPr>
        <w:t>‘639’</w:t>
      </w:r>
      <w:r>
        <w:rPr>
          <w:rFonts w:hint="eastAsia" w:ascii="仿宋_GB2312" w:hAnsi="仿宋_GB2312" w:eastAsia="仿宋_GB2312" w:cs="仿宋_GB2312"/>
          <w:color w:val="000000"/>
          <w:kern w:val="0"/>
          <w:sz w:val="32"/>
          <w:szCs w:val="32"/>
          <w:lang w:val="en-US" w:eastAsia="zh-CN" w:bidi="ar"/>
        </w:rPr>
        <w:t>行动计划”）。</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val="0"/>
          <w:sz w:val="32"/>
          <w:szCs w:val="32"/>
          <w:lang w:eastAsia="zh-CN"/>
        </w:rPr>
      </w:pPr>
      <w:r>
        <w:rPr>
          <w:rFonts w:hint="eastAsia" w:ascii="黑体" w:hAnsi="黑体" w:eastAsia="黑体" w:cs="黑体"/>
          <w:b/>
          <w:bCs w:val="0"/>
          <w:sz w:val="32"/>
          <w:szCs w:val="32"/>
        </w:rPr>
        <w:t>一、总体</w:t>
      </w:r>
      <w:r>
        <w:rPr>
          <w:rFonts w:hint="eastAsia" w:ascii="黑体" w:hAnsi="黑体" w:eastAsia="黑体" w:cs="黑体"/>
          <w:b/>
          <w:bCs w:val="0"/>
          <w:sz w:val="32"/>
          <w:szCs w:val="32"/>
          <w:lang w:val="en-US" w:eastAsia="zh-CN"/>
        </w:rPr>
        <w:t>思路</w:t>
      </w:r>
    </w:p>
    <w:p>
      <w:pPr>
        <w:keepNext w:val="0"/>
        <w:keepLines w:val="0"/>
        <w:pageBreakBefore w:val="0"/>
        <w:widowControl w:val="0"/>
        <w:kinsoku/>
        <w:wordWrap/>
        <w:overflowPunct/>
        <w:topLinePunct w:val="0"/>
        <w:autoSpaceDE/>
        <w:autoSpaceDN/>
        <w:bidi w:val="0"/>
        <w:adjustRightInd/>
        <w:snapToGrid/>
        <w:spacing w:line="560" w:lineRule="exact"/>
        <w:ind w:left="-210" w:leftChars="-100" w:firstLine="640" w:firstLineChars="200"/>
        <w:textAlignment w:val="auto"/>
        <w:rPr>
          <w:rFonts w:hint="eastAsia" w:ascii="仿宋_GB2312" w:hAnsi="仿宋_GB2312" w:eastAsia="仿宋_GB2312" w:cs="仿宋_GB2312"/>
          <w:spacing w:val="-11"/>
          <w:sz w:val="32"/>
          <w:szCs w:val="32"/>
          <w:lang w:val="en-US" w:eastAsia="zh-CN"/>
        </w:rPr>
      </w:pPr>
      <w:r>
        <w:rPr>
          <w:rFonts w:hint="eastAsia" w:ascii="仿宋_GB2312" w:hAnsi="仿宋_GB2312" w:eastAsia="仿宋_GB2312" w:cs="仿宋_GB2312"/>
          <w:sz w:val="32"/>
          <w:szCs w:val="32"/>
          <w:lang w:val="en-US" w:eastAsia="zh-CN"/>
        </w:rPr>
        <w:t>以习近平新时代中国特色社会主义思想为指导，深入贯彻党的二十大精神，完整、准确、全面贯彻新发展理念，聚焦“走在前、勇争先、善作为”目标要求，对标《江西省制造业重点产业链现代化建设“1269”行动计划（2023-2026年）》《上饶市制造业重点产业链现代化建设“1269”行动计划（2023-2026年）》主要任务，按照县委、县政府决策部署，以高效实施产业链链长制为抓手，强化布局协同、龙头引育、创新引领、链群融合、要素聚焦，推动制造业高端化、智能化、绿色化，不断增强完整性、先进性、安全性，全力建设“工业强县”，加快构建产业链条完整高效、科技创新赋能凸显、传统产业能级提升、战略性新兴产</w:t>
      </w:r>
      <w:r>
        <w:rPr>
          <w:rFonts w:hint="eastAsia" w:ascii="仿宋_GB2312" w:hAnsi="仿宋_GB2312" w:eastAsia="仿宋_GB2312" w:cs="仿宋_GB2312"/>
          <w:spacing w:val="-11"/>
          <w:sz w:val="32"/>
          <w:szCs w:val="32"/>
          <w:lang w:val="en-US" w:eastAsia="zh-CN"/>
        </w:rPr>
        <w:t>业占比较高、数字赋能深度发展的具有铅山特色的现代化产业体系。</w:t>
      </w:r>
    </w:p>
    <w:p>
      <w:pPr>
        <w:keepNext w:val="0"/>
        <w:keepLines w:val="0"/>
        <w:pageBreakBefore w:val="0"/>
        <w:widowControl w:val="0"/>
        <w:tabs>
          <w:tab w:val="left" w:pos="862"/>
        </w:tabs>
        <w:kinsoku/>
        <w:wordWrap/>
        <w:overflowPunct/>
        <w:topLinePunct w:val="0"/>
        <w:autoSpaceDE/>
        <w:autoSpaceDN/>
        <w:bidi w:val="0"/>
        <w:adjustRightInd/>
        <w:snapToGrid/>
        <w:spacing w:line="560" w:lineRule="exact"/>
        <w:ind w:firstLine="643" w:firstLineChars="200"/>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二、主要目标</w:t>
      </w:r>
    </w:p>
    <w:p>
      <w:pPr>
        <w:keepNext w:val="0"/>
        <w:keepLines w:val="0"/>
        <w:pageBreakBefore w:val="0"/>
        <w:widowControl w:val="0"/>
        <w:tabs>
          <w:tab w:val="left" w:pos="862"/>
        </w:tabs>
        <w:kinsoku/>
        <w:wordWrap/>
        <w:overflowPunct/>
        <w:topLinePunct w:val="0"/>
        <w:autoSpaceDE/>
        <w:autoSpaceDN/>
        <w:bidi w:val="0"/>
        <w:adjustRightInd/>
        <w:snapToGrid/>
        <w:spacing w:line="560" w:lineRule="exact"/>
        <w:ind w:firstLine="640" w:firstLineChars="200"/>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到2026年，力争实现产业链现代化</w:t>
      </w:r>
      <w:r>
        <w:rPr>
          <w:rFonts w:hint="eastAsia" w:ascii="仿宋_GB2312" w:hAnsi="仿宋_GB2312" w:eastAsia="仿宋_GB2312" w:cs="仿宋_GB2312"/>
          <w:color w:val="000000"/>
          <w:kern w:val="0"/>
          <w:sz w:val="32"/>
          <w:szCs w:val="32"/>
          <w:highlight w:val="none"/>
          <w:lang w:val="en-US" w:eastAsia="zh-CN" w:bidi="ar"/>
        </w:rPr>
        <w:t>“639”</w:t>
      </w:r>
      <w:r>
        <w:rPr>
          <w:rFonts w:hint="eastAsia" w:ascii="仿宋_GB2312" w:hAnsi="仿宋_GB2312" w:eastAsia="仿宋_GB2312" w:cs="仿宋_GB2312"/>
          <w:color w:val="000000"/>
          <w:kern w:val="0"/>
          <w:sz w:val="32"/>
          <w:szCs w:val="32"/>
          <w:lang w:val="en-US" w:eastAsia="zh-CN" w:bidi="ar"/>
        </w:rPr>
        <w:t>目标，即聚焦我县“1+2+N”产业体系，有色金属（金属新材料）、化工、电子信息、新型建材、</w:t>
      </w:r>
      <w:r>
        <w:rPr>
          <w:rFonts w:hint="default" w:ascii="仿宋_GB2312" w:hAnsi="仿宋_GB2312" w:eastAsia="仿宋_GB2312" w:cs="仿宋_GB2312"/>
          <w:color w:val="000000"/>
          <w:kern w:val="0"/>
          <w:sz w:val="32"/>
          <w:szCs w:val="32"/>
          <w:lang w:val="en" w:eastAsia="zh-CN" w:bidi="ar"/>
        </w:rPr>
        <w:t>新能源</w:t>
      </w:r>
      <w:r>
        <w:rPr>
          <w:rFonts w:hint="eastAsia" w:ascii="仿宋_GB2312" w:hAnsi="仿宋_GB2312" w:eastAsia="仿宋_GB2312" w:cs="仿宋_GB2312"/>
          <w:color w:val="000000"/>
          <w:kern w:val="0"/>
          <w:sz w:val="32"/>
          <w:szCs w:val="32"/>
          <w:lang w:val="en-US" w:eastAsia="zh-CN" w:bidi="ar"/>
        </w:rPr>
        <w:t>、绿色食品6条制造业重点产业链现代化水平全面提升，打造有色金属（金属新材料）、化工新材料、</w:t>
      </w:r>
      <w:r>
        <w:rPr>
          <w:rFonts w:hint="default" w:ascii="仿宋_GB2312" w:hAnsi="仿宋_GB2312" w:eastAsia="仿宋_GB2312" w:cs="仿宋_GB2312"/>
          <w:color w:val="000000"/>
          <w:kern w:val="0"/>
          <w:sz w:val="32"/>
          <w:szCs w:val="32"/>
          <w:lang w:val="en" w:eastAsia="zh-CN" w:bidi="ar"/>
        </w:rPr>
        <w:t>新能源</w:t>
      </w:r>
      <w:r>
        <w:rPr>
          <w:rFonts w:hint="eastAsia" w:ascii="仿宋_GB2312" w:hAnsi="仿宋_GB2312" w:eastAsia="仿宋_GB2312" w:cs="仿宋_GB2312"/>
          <w:color w:val="000000"/>
          <w:kern w:val="0"/>
          <w:sz w:val="32"/>
          <w:szCs w:val="32"/>
          <w:lang w:val="en-US" w:eastAsia="zh-CN" w:bidi="ar"/>
        </w:rPr>
        <w:t>3个综合实力和竞争力强的先进制造业集群，全县规模以上工业营业收入年均增长</w:t>
      </w:r>
      <w:r>
        <w:rPr>
          <w:rFonts w:hint="eastAsia" w:ascii="仿宋_GB2312" w:hAnsi="仿宋_GB2312" w:eastAsia="仿宋_GB2312" w:cs="仿宋_GB2312"/>
          <w:color w:val="000000"/>
          <w:kern w:val="0"/>
          <w:sz w:val="32"/>
          <w:szCs w:val="32"/>
          <w:highlight w:val="none"/>
          <w:lang w:val="en-US" w:eastAsia="zh-CN" w:bidi="ar"/>
        </w:rPr>
        <w:t>9%</w:t>
      </w:r>
      <w:r>
        <w:rPr>
          <w:rFonts w:hint="eastAsia" w:ascii="仿宋_GB2312" w:hAnsi="仿宋_GB2312" w:eastAsia="仿宋_GB2312" w:cs="仿宋_GB2312"/>
          <w:color w:val="000000"/>
          <w:kern w:val="0"/>
          <w:sz w:val="32"/>
          <w:szCs w:val="32"/>
          <w:lang w:val="en-US" w:eastAsia="zh-CN" w:bidi="ar"/>
        </w:rPr>
        <w:t>以上，统筹制造业质的有效提升和量的合理增长取得明显成效。</w:t>
      </w:r>
    </w:p>
    <w:p>
      <w:pPr>
        <w:keepNext w:val="0"/>
        <w:keepLines w:val="0"/>
        <w:pageBreakBefore w:val="0"/>
        <w:widowControl w:val="0"/>
        <w:tabs>
          <w:tab w:val="left" w:pos="862"/>
        </w:tabs>
        <w:kinsoku/>
        <w:wordWrap/>
        <w:overflowPunct/>
        <w:topLinePunct w:val="0"/>
        <w:autoSpaceDE/>
        <w:autoSpaceDN/>
        <w:bidi w:val="0"/>
        <w:adjustRightInd/>
        <w:snapToGrid/>
        <w:spacing w:line="560" w:lineRule="exact"/>
        <w:ind w:firstLine="643" w:firstLineChars="200"/>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三、主攻方向</w:t>
      </w:r>
    </w:p>
    <w:p>
      <w:pPr>
        <w:keepNext w:val="0"/>
        <w:keepLines w:val="0"/>
        <w:pageBreakBefore w:val="0"/>
        <w:widowControl w:val="0"/>
        <w:tabs>
          <w:tab w:val="left" w:pos="862"/>
        </w:tabs>
        <w:kinsoku/>
        <w:wordWrap/>
        <w:overflowPunct/>
        <w:topLinePunct w:val="0"/>
        <w:autoSpaceDE/>
        <w:autoSpaceDN/>
        <w:bidi w:val="0"/>
        <w:adjustRightInd/>
        <w:snapToGrid/>
        <w:spacing w:line="560" w:lineRule="exact"/>
        <w:ind w:firstLine="643" w:firstLineChars="20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（一）6条重点产业链。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kern w:val="0"/>
          <w:sz w:val="32"/>
          <w:szCs w:val="32"/>
          <w:highlight w:val="yellow"/>
          <w:lang w:val="en-US" w:eastAsia="zh-CN" w:bidi="ar"/>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有色金属</w:t>
      </w:r>
      <w:r>
        <w:rPr>
          <w:rFonts w:hint="eastAsia" w:ascii="仿宋_GB2312" w:hAnsi="仿宋_GB2312" w:eastAsia="仿宋_GB2312" w:cs="仿宋_GB2312"/>
          <w:b/>
          <w:bCs/>
          <w:color w:val="auto"/>
          <w:kern w:val="2"/>
          <w:sz w:val="32"/>
          <w:szCs w:val="32"/>
          <w:lang w:val="en-US" w:eastAsia="zh-CN" w:bidi="ar-SA"/>
        </w:rPr>
        <w:t>（金属新材料）</w:t>
      </w:r>
      <w:r>
        <w:rPr>
          <w:rFonts w:hint="eastAsia" w:ascii="仿宋_GB2312" w:hAnsi="仿宋_GB2312" w:eastAsia="仿宋_GB2312" w:cs="仿宋_GB2312"/>
          <w:b/>
          <w:bCs/>
          <w:color w:val="auto"/>
          <w:sz w:val="32"/>
          <w:szCs w:val="32"/>
        </w:rPr>
        <w:t>产业链。</w:t>
      </w:r>
      <w:r>
        <w:rPr>
          <w:rFonts w:hint="eastAsia" w:ascii="仿宋_GB2312" w:hAnsi="仿宋_GB2312" w:eastAsia="仿宋_GB2312" w:cs="仿宋_GB2312"/>
          <w:b w:val="0"/>
          <w:bCs w:val="0"/>
          <w:color w:val="auto"/>
          <w:sz w:val="32"/>
          <w:szCs w:val="32"/>
          <w:lang w:eastAsia="zh-CN"/>
        </w:rPr>
        <w:t>坚持智能化、低碳化、集群化方向，持续推进有色金属产业转型升级，深入开展为期三年的全面技改提升行动</w:t>
      </w:r>
      <w:r>
        <w:rPr>
          <w:rFonts w:hint="eastAsia" w:ascii="仿宋_GB2312" w:hAnsi="仿宋_GB2312" w:eastAsia="仿宋_GB2312" w:cs="仿宋_GB2312"/>
          <w:b w:val="0"/>
          <w:bCs w:val="0"/>
          <w:color w:val="auto"/>
          <w:sz w:val="32"/>
          <w:szCs w:val="32"/>
          <w:lang w:val="en-US" w:eastAsia="zh-CN"/>
        </w:rPr>
        <w:t>。优化有色金属产业政策，引导扶持现有企业提升精深加工能力，聚力发展铜、铝等细分产业链，不断延伸“金属功能材料-高端基础件-高端装备”的全产业链条，</w:t>
      </w:r>
      <w:r>
        <w:rPr>
          <w:rFonts w:hint="eastAsia" w:ascii="仿宋_GB2312" w:hAnsi="仿宋_GB2312" w:eastAsia="仿宋_GB2312" w:cs="仿宋_GB2312"/>
          <w:sz w:val="32"/>
          <w:szCs w:val="32"/>
          <w:lang w:val="en-US" w:eastAsia="zh-CN"/>
        </w:rPr>
        <w:t>对于无法形成规模效益的企业通过兼并、重组提高企业的资源利用效率</w:t>
      </w:r>
      <w:r>
        <w:rPr>
          <w:rFonts w:hint="eastAsia" w:ascii="仿宋_GB2312" w:hAnsi="仿宋_GB2312" w:eastAsia="仿宋_GB2312" w:cs="仿宋_GB2312"/>
          <w:b w:val="0"/>
          <w:bCs w:val="0"/>
          <w:color w:val="auto"/>
          <w:sz w:val="32"/>
          <w:szCs w:val="32"/>
          <w:lang w:val="en-US" w:eastAsia="zh-CN"/>
        </w:rPr>
        <w:t>。到2026年，全产业链营业收入力争达到</w:t>
      </w:r>
      <w:r>
        <w:rPr>
          <w:rFonts w:hint="eastAsia" w:ascii="仿宋_GB2312" w:hAnsi="仿宋_GB2312" w:eastAsia="仿宋_GB2312" w:cs="仿宋_GB2312"/>
          <w:b w:val="0"/>
          <w:bCs w:val="0"/>
          <w:color w:val="auto"/>
          <w:sz w:val="32"/>
          <w:szCs w:val="32"/>
          <w:u w:val="none"/>
          <w:lang w:val="en-US" w:eastAsia="zh-CN"/>
        </w:rPr>
        <w:t>330亿元。</w:t>
      </w:r>
    </w:p>
    <w:p>
      <w:pPr>
        <w:keepNext w:val="0"/>
        <w:keepLines w:val="0"/>
        <w:widowControl/>
        <w:suppressLineNumbers w:val="0"/>
        <w:ind w:firstLine="643" w:firstLineChars="200"/>
        <w:jc w:val="both"/>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u w:val="none"/>
          <w:lang w:val="en-US" w:eastAsia="zh-CN"/>
        </w:rPr>
        <w:t>2.</w:t>
      </w:r>
      <w:r>
        <w:rPr>
          <w:rFonts w:hint="default" w:ascii="仿宋_GB2312" w:hAnsi="仿宋_GB2312" w:eastAsia="仿宋_GB2312" w:cs="仿宋_GB2312"/>
          <w:b/>
          <w:bCs/>
          <w:color w:val="auto"/>
          <w:sz w:val="32"/>
          <w:szCs w:val="32"/>
          <w:u w:val="none"/>
          <w:lang w:val="en" w:eastAsia="zh-CN"/>
        </w:rPr>
        <w:t>新能源</w:t>
      </w:r>
      <w:r>
        <w:rPr>
          <w:rFonts w:hint="eastAsia" w:ascii="仿宋_GB2312" w:hAnsi="仿宋_GB2312" w:eastAsia="仿宋_GB2312" w:cs="仿宋_GB2312"/>
          <w:b/>
          <w:bCs/>
          <w:color w:val="auto"/>
          <w:sz w:val="32"/>
          <w:szCs w:val="32"/>
          <w:u w:val="none"/>
          <w:lang w:val="en-US" w:eastAsia="zh-CN"/>
        </w:rPr>
        <w:t>产业链。</w:t>
      </w:r>
      <w:r>
        <w:rPr>
          <w:rFonts w:hint="eastAsia" w:ascii="仿宋_GB2312" w:hAnsi="仿宋_GB2312" w:eastAsia="仿宋_GB2312" w:cs="仿宋_GB2312"/>
          <w:b w:val="0"/>
          <w:bCs w:val="0"/>
          <w:color w:val="auto"/>
          <w:sz w:val="32"/>
          <w:szCs w:val="32"/>
          <w:u w:val="none"/>
          <w:lang w:val="en-US" w:eastAsia="zh-CN"/>
        </w:rPr>
        <w:t>依</w:t>
      </w:r>
      <w:r>
        <w:rPr>
          <w:rFonts w:hint="eastAsia" w:ascii="仿宋_GB2312" w:hAnsi="仿宋_GB2312" w:eastAsia="仿宋_GB2312" w:cs="仿宋_GB2312"/>
          <w:b w:val="0"/>
          <w:bCs w:val="0"/>
          <w:color w:val="auto"/>
          <w:sz w:val="32"/>
          <w:szCs w:val="32"/>
          <w:lang w:val="en-US" w:eastAsia="zh-CN"/>
        </w:rPr>
        <w:t>托上饶市光伏、锂电等新能源产业基础资源优势，立足我县实际，坚持“锻长板、补短板、布前瞻”的发展思路，</w:t>
      </w:r>
      <w:r>
        <w:rPr>
          <w:rFonts w:hint="eastAsia" w:ascii="仿宋_GB2312" w:hAnsi="仿宋_GB2312" w:eastAsia="仿宋_GB2312" w:cs="仿宋_GB2312"/>
          <w:color w:val="000000"/>
          <w:kern w:val="0"/>
          <w:sz w:val="31"/>
          <w:szCs w:val="31"/>
          <w:lang w:val="en-US" w:eastAsia="zh-CN" w:bidi="ar"/>
        </w:rPr>
        <w:t>加快发展光伏新能源材料、先进复合材料等高端新材料</w:t>
      </w:r>
      <w:r>
        <w:rPr>
          <w:rFonts w:hint="eastAsia" w:ascii="仿宋_GB2312" w:hAnsi="仿宋_GB2312" w:eastAsia="仿宋_GB2312" w:cs="仿宋_GB2312"/>
          <w:b w:val="0"/>
          <w:bCs w:val="0"/>
          <w:color w:val="auto"/>
          <w:sz w:val="32"/>
          <w:szCs w:val="32"/>
          <w:lang w:val="en-US" w:eastAsia="zh-CN"/>
        </w:rPr>
        <w:t>，积极融入上饶市新能源产业集群一体化发展。到2026年，全产业链营业收入达到30亿元。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3.化工</w:t>
      </w:r>
      <w:r>
        <w:rPr>
          <w:rFonts w:hint="eastAsia" w:ascii="仿宋_GB2312" w:hAnsi="仿宋_GB2312" w:eastAsia="仿宋_GB2312" w:cs="仿宋_GB2312"/>
          <w:b/>
          <w:bCs/>
          <w:color w:val="auto"/>
          <w:sz w:val="32"/>
          <w:szCs w:val="32"/>
        </w:rPr>
        <w:t>产业链。</w:t>
      </w:r>
      <w:r>
        <w:rPr>
          <w:rFonts w:hint="eastAsia" w:ascii="仿宋_GB2312" w:hAnsi="仿宋_GB2312" w:eastAsia="仿宋_GB2312" w:cs="仿宋_GB2312"/>
          <w:b w:val="0"/>
          <w:bCs w:val="0"/>
          <w:color w:val="auto"/>
          <w:sz w:val="32"/>
          <w:szCs w:val="32"/>
          <w:lang w:eastAsia="zh-CN"/>
        </w:rPr>
        <w:t>按照“优化结构、合理布局、淘汰落后、扶优扶强”的发展思路，依托铅山工业园化工集中区，以实现高质量发展为主线，以防控系统性安全风险为重点，以突破核心关键技术为核心，深化改革创新，进一步优化产业布局，着力提升磷化工、氟化工、医药化工等细分产业链，推动化工产业安全清洁、绿色低碳、集约集聚、创新高效、高端转型发展，加快推进产业基础高级化、产业链供应链现代化。到</w:t>
      </w:r>
      <w:r>
        <w:rPr>
          <w:rFonts w:hint="eastAsia" w:ascii="仿宋_GB2312" w:hAnsi="仿宋_GB2312" w:eastAsia="仿宋_GB2312" w:cs="仿宋_GB2312"/>
          <w:b w:val="0"/>
          <w:bCs w:val="0"/>
          <w:color w:val="auto"/>
          <w:sz w:val="32"/>
          <w:szCs w:val="32"/>
          <w:lang w:val="en-US" w:eastAsia="zh-CN"/>
        </w:rPr>
        <w:t>2026年，全产业链营业收入力争达到50亿元。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4.新型建材产业链。</w:t>
      </w:r>
      <w:r>
        <w:rPr>
          <w:rFonts w:hint="eastAsia" w:ascii="仿宋_GB2312" w:hAnsi="仿宋_GB2312" w:eastAsia="仿宋_GB2312" w:cs="仿宋_GB2312"/>
          <w:b w:val="0"/>
          <w:bCs w:val="0"/>
          <w:color w:val="auto"/>
          <w:sz w:val="32"/>
          <w:szCs w:val="32"/>
          <w:lang w:val="en-US" w:eastAsia="zh-CN"/>
        </w:rPr>
        <w:t>坚持绿色化、高端化、多元化、集群化发展方向，聚焦防水防火保温绝热材料、新型墙体材料、装配式建筑结构件、碳酸钙、智能家居等细分产业链，大力实施建材产业链智能制造数字化转型三年行动计划，加快推广应用窑炉优化控制、智能仓储物流、设备巡检维护、在线监测检测、批量个性定制等先进技术，打造一批智能化工厂、数字化车间、智能生产线。到2026年，全产业链营业收入力争达到20亿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5.绿色食品产业链。</w:t>
      </w:r>
      <w:r>
        <w:rPr>
          <w:rFonts w:hint="eastAsia" w:ascii="仿宋_GB2312" w:hAnsi="仿宋_GB2312" w:eastAsia="仿宋_GB2312" w:cs="仿宋_GB2312"/>
          <w:b w:val="0"/>
          <w:bCs w:val="0"/>
          <w:color w:val="auto"/>
          <w:sz w:val="32"/>
          <w:szCs w:val="32"/>
          <w:lang w:val="en-US" w:eastAsia="zh-CN"/>
        </w:rPr>
        <w:t>按照“生态农业-绿色产品-精深加工-品牌建设-渠道拓展”全产业链发展的思路，聚力发展果蔬加工、地方特色食品、预制菜、休闲食品等细分产业链，引导一产往后延、二产两头连、三产走高端，持续打响“铅山河红茶”“铅山烫粉”“铅山红芽芋”等地方特色品牌，利用互联网电商平台导向作用，积极推动“河红茶＋红芽芋”特色品牌深度结合，推进产业链上中下游深度融合。到2026年，全产业链营业收入达到20亿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6.电子信息产业链。</w:t>
      </w:r>
      <w:r>
        <w:rPr>
          <w:rFonts w:hint="eastAsia" w:ascii="仿宋_GB2312" w:hAnsi="仿宋_GB2312" w:eastAsia="仿宋_GB2312" w:cs="仿宋_GB2312"/>
          <w:b w:val="0"/>
          <w:bCs w:val="0"/>
          <w:color w:val="auto"/>
          <w:sz w:val="32"/>
          <w:szCs w:val="32"/>
          <w:lang w:val="en-US" w:eastAsia="zh-CN"/>
        </w:rPr>
        <w:t>依托铅山数字经济产业园，聚力发展印制线路板（PCB）、移动智能终端、汽车电子等细分产业链，支持企业加强研发公关，加强与</w:t>
      </w:r>
      <w:r>
        <w:rPr>
          <w:rFonts w:hint="eastAsia" w:ascii="仿宋_GB2312" w:hAnsi="仿宋_GB2312" w:eastAsia="仿宋_GB2312" w:cs="仿宋_GB2312"/>
          <w:sz w:val="32"/>
          <w:szCs w:val="32"/>
          <w:lang w:val="en-US" w:eastAsia="zh-CN"/>
        </w:rPr>
        <w:t>粤港澳大湾区对接工作，</w:t>
      </w:r>
      <w:r>
        <w:rPr>
          <w:rFonts w:hint="eastAsia" w:ascii="仿宋_GB2312" w:hAnsi="仿宋_GB2312" w:eastAsia="仿宋_GB2312" w:cs="仿宋_GB2312"/>
          <w:b w:val="0"/>
          <w:bCs w:val="0"/>
          <w:color w:val="auto"/>
          <w:sz w:val="32"/>
          <w:szCs w:val="32"/>
          <w:lang w:val="en-US" w:eastAsia="zh-CN"/>
        </w:rPr>
        <w:t>完善上下游配套，补齐产业链短板，进一步推动电子信息产业高质量发展。到2026年，全产业链营业收入达到50亿元。</w:t>
      </w:r>
    </w:p>
    <w:p>
      <w:pPr>
        <w:keepNext w:val="0"/>
        <w:keepLines w:val="0"/>
        <w:pageBreakBefore w:val="0"/>
        <w:widowControl w:val="0"/>
        <w:tabs>
          <w:tab w:val="left" w:pos="862"/>
        </w:tabs>
        <w:kinsoku/>
        <w:wordWrap/>
        <w:overflowPunct/>
        <w:topLinePunct w:val="0"/>
        <w:autoSpaceDE/>
        <w:autoSpaceDN/>
        <w:bidi w:val="0"/>
        <w:adjustRightInd/>
        <w:snapToGrid/>
        <w:spacing w:line="560" w:lineRule="exact"/>
        <w:ind w:firstLine="643" w:firstLineChars="20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（二）3个先进制造业集群</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1.有色金属（金属新材料）先进制造业集群。</w:t>
      </w:r>
      <w:r>
        <w:rPr>
          <w:rFonts w:hint="eastAsia" w:ascii="仿宋_GB2312" w:hAnsi="仿宋_GB2312" w:eastAsia="仿宋_GB2312" w:cs="仿宋_GB2312"/>
          <w:b w:val="0"/>
          <w:bCs w:val="0"/>
          <w:color w:val="auto"/>
          <w:kern w:val="2"/>
          <w:sz w:val="32"/>
          <w:szCs w:val="32"/>
          <w:lang w:val="en-US" w:eastAsia="zh-CN" w:bidi="ar-SA"/>
        </w:rPr>
        <w:t>聚焦铜基新材料、铝基新材料2个重点发展方向，深入实施技术改造和数字化升级工程，不断延伸产业链条。全力推动和立环保、巨鹏科技、</w:t>
      </w:r>
      <w:r>
        <w:rPr>
          <w:rFonts w:hint="eastAsia" w:ascii="仿宋_GB2312" w:hAnsi="仿宋_GB2312" w:eastAsia="仿宋_GB2312" w:cs="仿宋_GB2312"/>
          <w:b w:val="0"/>
          <w:bCs w:val="0"/>
          <w:color w:val="auto"/>
          <w:sz w:val="32"/>
          <w:szCs w:val="32"/>
          <w:lang w:val="en-US" w:eastAsia="zh-CN"/>
        </w:rPr>
        <w:t>华嘉铝业、瑞旭实业等龙头企业发展壮大</w:t>
      </w:r>
      <w:r>
        <w:rPr>
          <w:rFonts w:hint="eastAsia" w:ascii="仿宋_GB2312" w:hAnsi="仿宋_GB2312" w:eastAsia="仿宋_GB2312" w:cs="仿宋_GB2312"/>
          <w:b w:val="0"/>
          <w:bCs w:val="0"/>
          <w:color w:val="auto"/>
          <w:kern w:val="2"/>
          <w:sz w:val="32"/>
          <w:szCs w:val="32"/>
          <w:lang w:val="en-US" w:eastAsia="zh-CN" w:bidi="ar-SA"/>
        </w:rPr>
        <w:t>，持续跟进科美格新材料、汇盈环保、金瑞环保等项目满产达产，着力引进一批强链延链项目，不断提升我县有色金属（金属新材料）产业集群能级，力争打造在全省具有影响力的有色金属先进制造业集群。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Style w:val="67"/>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2.</w:t>
      </w:r>
      <w:r>
        <w:rPr>
          <w:rFonts w:hint="eastAsia" w:ascii="仿宋_GB2312" w:hAnsi="仿宋_GB2312" w:eastAsia="仿宋_GB2312" w:cs="仿宋_GB2312"/>
          <w:b/>
          <w:bCs/>
          <w:sz w:val="32"/>
          <w:szCs w:val="32"/>
          <w:lang w:eastAsia="zh-CN"/>
        </w:rPr>
        <w:t>化工新材料</w:t>
      </w:r>
      <w:r>
        <w:rPr>
          <w:rFonts w:hint="eastAsia" w:ascii="仿宋_GB2312" w:hAnsi="仿宋_GB2312" w:eastAsia="仿宋_GB2312" w:cs="仿宋_GB2312"/>
          <w:b/>
          <w:bCs/>
          <w:color w:val="auto"/>
          <w:kern w:val="2"/>
          <w:sz w:val="32"/>
          <w:szCs w:val="32"/>
          <w:lang w:val="en-US" w:eastAsia="zh-CN" w:bidi="ar-SA"/>
        </w:rPr>
        <w:t>先进制造业集群。</w:t>
      </w:r>
      <w:r>
        <w:rPr>
          <w:rStyle w:val="67"/>
          <w:rFonts w:hint="eastAsia" w:ascii="仿宋_GB2312" w:hAnsi="仿宋_GB2312" w:eastAsia="仿宋_GB2312" w:cs="仿宋_GB2312"/>
          <w:kern w:val="2"/>
          <w:sz w:val="32"/>
          <w:szCs w:val="32"/>
          <w:lang w:val="en-US" w:eastAsia="zh-CN" w:bidi="ar-SA"/>
        </w:rPr>
        <w:t>强化错位发展理念，培育细分领域隐形冠军企业，依托福尔鑫医药化工等龙头企业，构建磷化工产业链；依托东沿药业等龙头企业，打造具有优势的无机氟化工产业；抢抓新能源等新兴产业发展契机，强化与横峰等上饶市新能源产业基地协调发展，推动三嘉科技产业园、鼎鑫金属三期等项目落户投产，重点布局六氟磷酸锂等锂电池配套产业。扶持金丰药业等高新科技企业形成医药化工产业集群，整合塔益莱、天城高新、新诚信等企业形成高分子化工新材料产业集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Style w:val="67"/>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color w:val="auto"/>
          <w:sz w:val="32"/>
          <w:szCs w:val="32"/>
          <w:lang w:val="en-US" w:eastAsia="zh-CN"/>
        </w:rPr>
        <w:t>3.</w:t>
      </w:r>
      <w:r>
        <w:rPr>
          <w:rFonts w:hint="default" w:ascii="仿宋_GB2312" w:hAnsi="仿宋_GB2312" w:eastAsia="仿宋_GB2312" w:cs="仿宋_GB2312"/>
          <w:b/>
          <w:bCs/>
          <w:color w:val="auto"/>
          <w:sz w:val="32"/>
          <w:szCs w:val="32"/>
          <w:lang w:val="en" w:eastAsia="zh-CN"/>
        </w:rPr>
        <w:t>新能源</w:t>
      </w:r>
      <w:r>
        <w:rPr>
          <w:rFonts w:hint="eastAsia" w:ascii="仿宋_GB2312" w:hAnsi="仿宋_GB2312" w:eastAsia="仿宋_GB2312" w:cs="仿宋_GB2312"/>
          <w:b/>
          <w:bCs/>
          <w:color w:val="auto"/>
          <w:sz w:val="32"/>
          <w:szCs w:val="32"/>
        </w:rPr>
        <w:t>先进制造业集群。</w:t>
      </w:r>
      <w:r>
        <w:rPr>
          <w:rFonts w:hint="eastAsia" w:ascii="仿宋_GB2312" w:hAnsi="仿宋_GB2312" w:eastAsia="仿宋_GB2312" w:cs="仿宋_GB2312"/>
          <w:b w:val="0"/>
          <w:bCs w:val="0"/>
          <w:color w:val="auto"/>
          <w:sz w:val="32"/>
          <w:szCs w:val="32"/>
          <w:lang w:val="en-US" w:eastAsia="zh-CN"/>
        </w:rPr>
        <w:t>依托毗邻上饶经开区、横峰的区位优势，积极融入全市光伏、锂电产业集群一体化发展。光伏方面，加快推进华嘉铝业三期、瑞旭实业二期项目建设，促进龙头企业发展壮大。锂电方面，坚持协同发展、错位发展。全力推进天赐材料1.2万吨碳酸锂项目建设，有序推动汇恒新材料、屹博新材料等废旧锂电池综合利用项目建设，加速打造空间上聚集、链条上耦合、价值上跃升的</w:t>
      </w:r>
      <w:r>
        <w:rPr>
          <w:rFonts w:hint="default" w:ascii="仿宋_GB2312" w:hAnsi="仿宋_GB2312" w:eastAsia="仿宋_GB2312" w:cs="仿宋_GB2312"/>
          <w:b w:val="0"/>
          <w:bCs w:val="0"/>
          <w:color w:val="auto"/>
          <w:sz w:val="32"/>
          <w:szCs w:val="32"/>
          <w:lang w:val="en" w:eastAsia="zh-CN"/>
        </w:rPr>
        <w:t>新能源</w:t>
      </w:r>
      <w:r>
        <w:rPr>
          <w:rFonts w:hint="eastAsia" w:ascii="仿宋_GB2312" w:hAnsi="仿宋_GB2312" w:eastAsia="仿宋_GB2312" w:cs="仿宋_GB2312"/>
          <w:b w:val="0"/>
          <w:bCs w:val="0"/>
          <w:color w:val="auto"/>
          <w:sz w:val="32"/>
          <w:szCs w:val="32"/>
          <w:lang w:val="en-US" w:eastAsia="zh-CN"/>
        </w:rPr>
        <w:t>先进制造业集群。</w:t>
      </w:r>
    </w:p>
    <w:p>
      <w:pPr>
        <w:keepNext w:val="0"/>
        <w:keepLines w:val="0"/>
        <w:pageBreakBefore w:val="0"/>
        <w:widowControl w:val="0"/>
        <w:tabs>
          <w:tab w:val="left" w:pos="862"/>
        </w:tabs>
        <w:kinsoku/>
        <w:wordWrap/>
        <w:overflowPunct/>
        <w:topLinePunct w:val="0"/>
        <w:autoSpaceDE/>
        <w:autoSpaceDN/>
        <w:bidi w:val="0"/>
        <w:adjustRightInd/>
        <w:snapToGrid/>
        <w:spacing w:line="560" w:lineRule="exact"/>
        <w:ind w:firstLine="643" w:firstLineChars="200"/>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四、主要举措</w:t>
      </w:r>
    </w:p>
    <w:p>
      <w:pPr>
        <w:pStyle w:val="16"/>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kern w:val="2"/>
          <w:sz w:val="32"/>
          <w:szCs w:val="32"/>
          <w:lang w:val="en-US" w:eastAsia="zh-CN" w:bidi="ar-SA"/>
        </w:rPr>
      </w:pPr>
      <w:r>
        <w:rPr>
          <w:rFonts w:hint="eastAsia" w:ascii="楷体_GB2312" w:hAnsi="楷体_GB2312" w:eastAsia="楷体_GB2312" w:cs="楷体_GB2312"/>
          <w:b/>
          <w:sz w:val="32"/>
          <w:szCs w:val="32"/>
          <w:highlight w:val="none"/>
          <w:lang w:val="en-US" w:eastAsia="zh-CN"/>
        </w:rPr>
        <w:t>(一)实施产业链链长制升级行动,推动链长制协同高效运转。</w:t>
      </w:r>
      <w:r>
        <w:rPr>
          <w:rFonts w:hint="eastAsia" w:ascii="仿宋_GB2312" w:hAnsi="仿宋_GB2312" w:eastAsia="仿宋_GB2312" w:cs="仿宋_GB2312"/>
          <w:b w:val="0"/>
          <w:bCs w:val="0"/>
          <w:color w:val="auto"/>
          <w:kern w:val="2"/>
          <w:sz w:val="32"/>
          <w:szCs w:val="32"/>
          <w:lang w:val="en-US" w:eastAsia="zh-CN" w:bidi="ar-SA"/>
        </w:rPr>
        <w:t>进一步健全产业链链长制运行机制,县级层面由县政府县长担任总链长,县政府其他县级领导担任各重点产业链链长。推行“链长＋链主”工作模式，建立链长与链主常态化互动机制,支持链主企业发展;链主企业带动产业链发展,联动链上企业及时向链长反映重大发展诉求。县工业园区集中资源力量推进本区域产业链项目建设、企业培育、招商引资、补链强链,打造产业集群。推行“链主+基金”工作模式,发挥产业基金作用,开展基金大招商、招大商;探索建立“产业链+链主企业+产业基金”运作机制,鼓励链主企业强化资本带动,引领产业链提能升级。</w:t>
      </w:r>
    </w:p>
    <w:p>
      <w:pPr>
        <w:pStyle w:val="16"/>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sz w:val="32"/>
          <w:szCs w:val="32"/>
          <w:highlight w:val="none"/>
          <w:lang w:val="en-US" w:eastAsia="zh-CN"/>
        </w:rPr>
      </w:pPr>
      <w:r>
        <w:rPr>
          <w:rFonts w:hint="eastAsia" w:ascii="楷体_GB2312" w:hAnsi="楷体_GB2312" w:eastAsia="楷体_GB2312" w:cs="楷体_GB2312"/>
          <w:b/>
          <w:sz w:val="32"/>
          <w:szCs w:val="32"/>
          <w:highlight w:val="none"/>
          <w:lang w:val="en-US" w:eastAsia="zh-CN"/>
        </w:rPr>
        <w:t>(二)实施“三大倍增”行动,构建创新型现代产业体系。</w:t>
      </w:r>
      <w:r>
        <w:rPr>
          <w:rFonts w:hint="eastAsia" w:ascii="仿宋_GB2312" w:hAnsi="仿宋_GB2312" w:eastAsia="仿宋_GB2312" w:cs="仿宋_GB2312"/>
          <w:b w:val="0"/>
          <w:bCs w:val="0"/>
          <w:color w:val="auto"/>
          <w:kern w:val="2"/>
          <w:sz w:val="32"/>
          <w:szCs w:val="32"/>
          <w:lang w:val="en-US" w:eastAsia="zh-CN" w:bidi="ar-SA"/>
        </w:rPr>
        <w:t>推动全县战略性新兴产业发展速度进一步加快,创新能力不断增强,产业布局更加合理,集约发展水平明显提高,重点领域实现重大突破,成为引领带动全县工业转型升级的重要力量。推动战略性新兴产业龙头企业实现质量效益全面提升,在引领行业发展方向、提升产业发展水平、抢占未来发展制高点、探索发展新业态等方面成为排头兵和领跑者。进一步做强、做精、做优有色金属、化工、新型建材等传统产业,产业整体素质和综合竞争力大幅提升。推动县工业园区在产业集群上再壮大、改革开放上再深化、科技创新上再提升、营商环境上再优化、责任落实上再发力,进一步推动园区经济高质量发展,努力实现总量跨越、效益倍增。</w:t>
      </w:r>
    </w:p>
    <w:p>
      <w:pPr>
        <w:pStyle w:val="16"/>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kern w:val="2"/>
          <w:sz w:val="32"/>
          <w:szCs w:val="32"/>
          <w:lang w:val="en-US" w:eastAsia="zh-CN" w:bidi="ar-SA"/>
        </w:rPr>
      </w:pPr>
      <w:r>
        <w:rPr>
          <w:rFonts w:hint="eastAsia" w:ascii="楷体_GB2312" w:hAnsi="楷体_GB2312" w:eastAsia="楷体_GB2312" w:cs="楷体_GB2312"/>
          <w:b/>
          <w:sz w:val="32"/>
          <w:szCs w:val="32"/>
          <w:highlight w:val="none"/>
          <w:lang w:val="en-US" w:eastAsia="zh-CN"/>
        </w:rPr>
        <w:t>(三)实施园区能级提升行动,打造先进制造业集群。</w:t>
      </w:r>
      <w:r>
        <w:rPr>
          <w:rFonts w:hint="eastAsia" w:ascii="仿宋_GB2312" w:hAnsi="仿宋_GB2312" w:eastAsia="仿宋_GB2312" w:cs="仿宋_GB2312"/>
          <w:b w:val="0"/>
          <w:bCs w:val="0"/>
          <w:color w:val="auto"/>
          <w:kern w:val="2"/>
          <w:sz w:val="32"/>
          <w:szCs w:val="32"/>
          <w:lang w:val="en-US" w:eastAsia="zh-CN" w:bidi="ar-SA"/>
        </w:rPr>
        <w:t>聚焦产业链关键环节和优势领域,优化工业园区承载平台,大力推进标准厂房建设。坚持创新引领,加快产业集聚化、集约化、绿色化、智慧化融合发展,着力打造一批具有特色优势的产业园区。不断促进产业集群提能升级,着力培育新增省级(培育、特色)产业集群,努力打造一批星级产业集群。加快园区数字化转型,打造县、工业园区、企业三级联动的开发区智慧云平台,打造省级数字化转型标杆开发区和优秀开发区进一步推进园区改革和创新发展,推行“管委会+公司”经营机制改革,推动政企分开、政企合作,充分发挥管委会的战略引领与资源配置作用与公司的市场化运作的价值。</w:t>
      </w:r>
    </w:p>
    <w:p>
      <w:pPr>
        <w:pStyle w:val="16"/>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kern w:val="2"/>
          <w:sz w:val="32"/>
          <w:szCs w:val="32"/>
          <w:lang w:val="en-US" w:eastAsia="zh-CN" w:bidi="ar-SA"/>
        </w:rPr>
      </w:pPr>
      <w:r>
        <w:rPr>
          <w:rFonts w:hint="eastAsia" w:ascii="楷体_GB2312" w:hAnsi="楷体_GB2312" w:eastAsia="楷体_GB2312" w:cs="楷体_GB2312"/>
          <w:b/>
          <w:sz w:val="32"/>
          <w:szCs w:val="32"/>
          <w:highlight w:val="none"/>
          <w:lang w:val="en-US" w:eastAsia="zh-CN"/>
        </w:rPr>
        <w:t>(四)实施龙头骨干企业引育行动,促进大中小企业融通发展。</w:t>
      </w:r>
      <w:r>
        <w:rPr>
          <w:rFonts w:hint="eastAsia" w:ascii="仿宋_GB2312" w:hAnsi="仿宋_GB2312" w:eastAsia="仿宋_GB2312" w:cs="仿宋_GB2312"/>
          <w:b w:val="0"/>
          <w:bCs w:val="0"/>
          <w:color w:val="auto"/>
          <w:kern w:val="2"/>
          <w:sz w:val="32"/>
          <w:szCs w:val="32"/>
          <w:lang w:val="en-US" w:eastAsia="zh-CN" w:bidi="ar-SA"/>
        </w:rPr>
        <w:t>强化招大引强,动态优化更新产业链“四图五清单”,积极招引“高大上”“链群配”项目,培育产业链群。建立重点培育清单,一企一策支持龙头骨干企业做大做强,打造一批链主企业。健全完善中小企业梯度培育机制,引导中小企业“专精特新”发展,促进产业链上的大中小企业融通发展。</w:t>
      </w:r>
    </w:p>
    <w:p>
      <w:pPr>
        <w:pStyle w:val="16"/>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kern w:val="2"/>
          <w:sz w:val="32"/>
          <w:szCs w:val="32"/>
          <w:lang w:val="en-US" w:eastAsia="zh-CN" w:bidi="ar-SA"/>
        </w:rPr>
      </w:pPr>
      <w:r>
        <w:rPr>
          <w:rFonts w:hint="eastAsia" w:ascii="楷体_GB2312" w:hAnsi="楷体_GB2312" w:eastAsia="楷体_GB2312" w:cs="楷体_GB2312"/>
          <w:b/>
          <w:sz w:val="32"/>
          <w:szCs w:val="32"/>
          <w:highlight w:val="none"/>
          <w:lang w:val="en-US" w:eastAsia="zh-CN"/>
        </w:rPr>
        <w:t>(五)实施创新引领行动,推动产业链迈向中高端。</w:t>
      </w:r>
      <w:r>
        <w:rPr>
          <w:rFonts w:hint="eastAsia" w:ascii="仿宋_GB2312" w:hAnsi="仿宋_GB2312" w:eastAsia="仿宋_GB2312" w:cs="仿宋_GB2312"/>
          <w:b w:val="0"/>
          <w:bCs w:val="0"/>
          <w:color w:val="auto"/>
          <w:kern w:val="2"/>
          <w:sz w:val="32"/>
          <w:szCs w:val="32"/>
          <w:lang w:val="en-US" w:eastAsia="zh-CN" w:bidi="ar-SA"/>
        </w:rPr>
        <w:t>实施产业链协同创新工程,围绕6条重点产业链,优化创新资源配置,加快构建科技创新联合体建设步伐,组织开展产业链共性关键技术攻关,加快构建“政产学研用金”结合、上中下游衔接、大中小微企业协同的创新体系,加强与</w:t>
      </w:r>
      <w:r>
        <w:rPr>
          <w:rFonts w:hint="eastAsia" w:ascii="仿宋_GB2312" w:hAnsi="仿宋_GB2312" w:eastAsia="仿宋_GB2312" w:cs="仿宋_GB2312"/>
          <w:sz w:val="32"/>
          <w:szCs w:val="32"/>
          <w:lang w:val="en-US" w:eastAsia="zh-CN"/>
        </w:rPr>
        <w:t>上饶师院等高等院校进行产学研合作，让产学研落到实处，增强专家持续深入地对各大产业基地的指导、跟踪，及时调整产业发展政策和重点，</w:t>
      </w:r>
      <w:r>
        <w:rPr>
          <w:rFonts w:hint="eastAsia" w:ascii="仿宋_GB2312" w:hAnsi="仿宋_GB2312" w:eastAsia="仿宋_GB2312" w:cs="仿宋_GB2312"/>
          <w:b w:val="0"/>
          <w:bCs w:val="0"/>
          <w:color w:val="auto"/>
          <w:kern w:val="2"/>
          <w:sz w:val="32"/>
          <w:szCs w:val="32"/>
          <w:lang w:val="en-US" w:eastAsia="zh-CN" w:bidi="ar-SA"/>
        </w:rPr>
        <w:t>着力提升产业链技术创新能力和水平。实施产业链数字赋能行动,分类推进企业数字化改造。</w:t>
      </w:r>
    </w:p>
    <w:p>
      <w:pPr>
        <w:pStyle w:val="16"/>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kern w:val="2"/>
          <w:sz w:val="32"/>
          <w:szCs w:val="32"/>
          <w:lang w:val="en-US" w:eastAsia="zh-CN" w:bidi="ar-SA"/>
        </w:rPr>
      </w:pPr>
      <w:r>
        <w:rPr>
          <w:rFonts w:hint="eastAsia" w:ascii="楷体_GB2312" w:hAnsi="楷体_GB2312" w:eastAsia="楷体_GB2312" w:cs="楷体_GB2312"/>
          <w:b/>
          <w:sz w:val="32"/>
          <w:szCs w:val="32"/>
          <w:highlight w:val="none"/>
          <w:lang w:val="en-US" w:eastAsia="zh-CN"/>
        </w:rPr>
        <w:t>(六)实施资源要素精准聚焦行动,优化产业链发展生态。</w:t>
      </w:r>
      <w:r>
        <w:rPr>
          <w:rFonts w:hint="eastAsia" w:ascii="仿宋_GB2312" w:hAnsi="仿宋_GB2312" w:eastAsia="仿宋_GB2312" w:cs="仿宋_GB2312"/>
          <w:b w:val="0"/>
          <w:bCs w:val="0"/>
          <w:color w:val="auto"/>
          <w:kern w:val="2"/>
          <w:sz w:val="32"/>
          <w:szCs w:val="32"/>
          <w:lang w:val="en-US" w:eastAsia="zh-CN" w:bidi="ar-SA"/>
        </w:rPr>
        <w:t>强化政策聚焦,围绕产业链现代化“639”行动计划,制定实施财政、税收、教育、科技、金融、就业创业、人才引育等支持措施。强化要素聚焦,综合运用企业“亩均论英雄”等评价结果,合理配置资金、土地、水、电气、环境容量等资源要素。提升政务服务效能,深化“一件事一次办”改革,落实“一网选中介”,降低企业制度性交易成本。完善惠企长效机制,发挥县领导挂点、驻企特派员等机制作用,积极帮扶服务企业,协调解决问题困难。</w:t>
      </w:r>
    </w:p>
    <w:p>
      <w:pPr>
        <w:pStyle w:val="16"/>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b w:val="0"/>
          <w:bCs w:val="0"/>
          <w:color w:val="auto"/>
          <w:kern w:val="2"/>
          <w:sz w:val="32"/>
          <w:szCs w:val="32"/>
          <w:lang w:val="en-US" w:eastAsia="zh-CN" w:bidi="ar-SA"/>
        </w:rPr>
      </w:pPr>
      <w:r>
        <w:rPr>
          <w:rFonts w:hint="eastAsia" w:ascii="楷体_GB2312" w:hAnsi="楷体_GB2312" w:eastAsia="楷体_GB2312" w:cs="楷体_GB2312"/>
          <w:b/>
          <w:sz w:val="32"/>
          <w:szCs w:val="32"/>
          <w:highlight w:val="none"/>
          <w:lang w:val="en-US" w:eastAsia="zh-CN"/>
        </w:rPr>
        <w:t>(七)加快融入长三角行动,深化区域和产业合作。</w:t>
      </w:r>
      <w:r>
        <w:rPr>
          <w:rFonts w:hint="eastAsia" w:ascii="仿宋_GB2312" w:hAnsi="仿宋_GB2312" w:eastAsia="仿宋_GB2312" w:cs="仿宋_GB2312"/>
          <w:b w:val="0"/>
          <w:bCs w:val="0"/>
          <w:color w:val="auto"/>
          <w:kern w:val="2"/>
          <w:sz w:val="32"/>
          <w:szCs w:val="32"/>
          <w:lang w:val="en-US" w:eastAsia="zh-CN" w:bidi="ar-SA"/>
        </w:rPr>
        <w:t>围绕县重点产业链,持续深化与长三角国家技术创新中心的合作,参与建立“科创飞地”，同步推送科研成果,帮助培养科创人才,着力招引一批科技型、成长型企业;以市政府同上海松江区、徐汇区,浙江宁波市、金华市、温州市等地签订的战略合作协议为契机,找准合作切入点,加强跟踪跟进,积极推动与长三角地区政、产、学、研、金、介、用等要素的全方位对接共享,持续深化战略合作,全面提升产业链发展水平。</w:t>
      </w:r>
    </w:p>
    <w:p>
      <w:pPr>
        <w:pStyle w:val="16"/>
        <w:keepNext w:val="0"/>
        <w:keepLines w:val="0"/>
        <w:pageBreakBefore w:val="0"/>
        <w:widowControl w:val="0"/>
        <w:kinsoku/>
        <w:wordWrap/>
        <w:overflowPunct/>
        <w:topLinePunct w:val="0"/>
        <w:autoSpaceDE/>
        <w:autoSpaceDN/>
        <w:bidi w:val="0"/>
        <w:adjustRightInd/>
        <w:snapToGrid/>
        <w:spacing w:line="560" w:lineRule="exact"/>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五、组织实施</w:t>
      </w:r>
    </w:p>
    <w:p>
      <w:pPr>
        <w:pStyle w:val="16"/>
        <w:keepNext w:val="0"/>
        <w:keepLines w:val="0"/>
        <w:pageBreakBefore w:val="0"/>
        <w:widowControl w:val="0"/>
        <w:kinsoku/>
        <w:wordWrap/>
        <w:overflowPunct/>
        <w:topLinePunct w:val="0"/>
        <w:autoSpaceDE/>
        <w:autoSpaceDN/>
        <w:bidi w:val="0"/>
        <w:adjustRightInd/>
        <w:snapToGrid/>
        <w:spacing w:line="560" w:lineRule="exact"/>
        <w:ind w:firstLine="640" w:firstLineChars="200"/>
        <w:rPr>
          <w:rFonts w:hint="eastAsia" w:ascii="仿宋_GB2312" w:eastAsia="仿宋_GB2312"/>
          <w:sz w:val="32"/>
          <w:szCs w:val="32"/>
          <w:lang w:val="en-US" w:eastAsia="zh-CN"/>
        </w:rPr>
      </w:pPr>
      <w:r>
        <w:rPr>
          <w:rFonts w:hint="eastAsia" w:ascii="仿宋_GB2312" w:hAnsi="仿宋" w:eastAsia="仿宋_GB2312" w:cs="仿宋"/>
          <w:sz w:val="32"/>
          <w:szCs w:val="32"/>
          <w:lang w:val="en-US" w:eastAsia="zh-CN"/>
        </w:rPr>
        <w:t>县工业强县领导小组统筹产业链推进工作，县工信局负责</w:t>
      </w:r>
      <w:r>
        <w:rPr>
          <w:rFonts w:hint="eastAsia" w:ascii="仿宋_GB2312" w:hAnsi="仿宋" w:eastAsia="仿宋_GB2312" w:cs="仿宋"/>
          <w:sz w:val="32"/>
          <w:szCs w:val="32"/>
        </w:rPr>
        <w:t>工作落实情况细化分解，积极督促跟进各项工作进展，掌握</w:t>
      </w:r>
      <w:r>
        <w:rPr>
          <w:rFonts w:hint="eastAsia" w:ascii="仿宋_GB2312" w:hAnsi="仿宋" w:eastAsia="仿宋_GB2312" w:cs="仿宋"/>
          <w:sz w:val="32"/>
          <w:szCs w:val="32"/>
          <w:lang w:val="en-US" w:eastAsia="zh-CN"/>
        </w:rPr>
        <w:t>工作</w:t>
      </w:r>
      <w:r>
        <w:rPr>
          <w:rFonts w:hint="eastAsia" w:ascii="仿宋_GB2312" w:hAnsi="仿宋" w:eastAsia="仿宋_GB2312" w:cs="仿宋"/>
          <w:sz w:val="32"/>
          <w:szCs w:val="32"/>
        </w:rPr>
        <w:t>完成情况，并定期通报有关情况。</w:t>
      </w:r>
      <w:r>
        <w:rPr>
          <w:rFonts w:hint="eastAsia" w:ascii="仿宋_GB2312" w:hAnsi="仿宋" w:eastAsia="仿宋_GB2312" w:cs="仿宋"/>
          <w:sz w:val="32"/>
          <w:szCs w:val="32"/>
          <w:lang w:eastAsia="zh-CN"/>
        </w:rPr>
        <w:t>各</w:t>
      </w:r>
      <w:r>
        <w:rPr>
          <w:rFonts w:hint="eastAsia" w:ascii="仿宋_GB2312" w:hAnsi="仿宋" w:eastAsia="仿宋_GB2312" w:cs="仿宋"/>
          <w:sz w:val="32"/>
          <w:szCs w:val="32"/>
        </w:rPr>
        <w:t>职能部门、各</w:t>
      </w:r>
      <w:r>
        <w:rPr>
          <w:rFonts w:hint="eastAsia" w:ascii="仿宋_GB2312" w:hAnsi="仿宋" w:eastAsia="仿宋_GB2312" w:cs="仿宋"/>
          <w:sz w:val="32"/>
          <w:szCs w:val="32"/>
          <w:lang w:val="en-US" w:eastAsia="zh-CN"/>
        </w:rPr>
        <w:t>乡</w:t>
      </w:r>
      <w:r>
        <w:rPr>
          <w:rFonts w:hint="eastAsia" w:ascii="仿宋_GB2312" w:hAnsi="仿宋" w:eastAsia="仿宋_GB2312" w:cs="仿宋"/>
          <w:sz w:val="32"/>
          <w:szCs w:val="32"/>
        </w:rPr>
        <w:t>镇</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办事处</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rPr>
        <w:t>要</w:t>
      </w:r>
      <w:r>
        <w:rPr>
          <w:rFonts w:hint="eastAsia" w:ascii="仿宋_GB2312" w:hAnsi="仿宋" w:eastAsia="仿宋_GB2312" w:cs="仿宋"/>
          <w:sz w:val="32"/>
          <w:szCs w:val="32"/>
          <w:lang w:val="en-US" w:eastAsia="zh-CN"/>
        </w:rPr>
        <w:t>树立“一盘棋”意识，形成抓产业链现代化建设的合力；要</w:t>
      </w:r>
      <w:r>
        <w:rPr>
          <w:rFonts w:hint="eastAsia" w:ascii="仿宋_GB2312" w:hAnsi="仿宋" w:eastAsia="仿宋_GB2312" w:cs="仿宋"/>
          <w:sz w:val="32"/>
          <w:szCs w:val="32"/>
        </w:rPr>
        <w:t>主动作为，</w:t>
      </w:r>
      <w:r>
        <w:rPr>
          <w:rFonts w:ascii="仿宋_GB2312" w:hAnsi="仿宋" w:eastAsia="仿宋_GB2312" w:cs="仿宋"/>
          <w:sz w:val="32"/>
          <w:szCs w:val="32"/>
        </w:rPr>
        <w:t>紧扣产业发展需求，</w:t>
      </w:r>
      <w:r>
        <w:rPr>
          <w:rFonts w:hint="eastAsia" w:ascii="仿宋_GB2312" w:hAnsi="仿宋" w:eastAsia="仿宋_GB2312" w:cs="仿宋"/>
          <w:sz w:val="32"/>
          <w:szCs w:val="32"/>
        </w:rPr>
        <w:t>明确具体的落实办法，密切配合，各司其职、各尽其责，确保按要求顺利推进各项工作</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rPr>
        <w:t>以实际成效</w:t>
      </w:r>
      <w:r>
        <w:rPr>
          <w:rFonts w:hint="eastAsia" w:ascii="仿宋_GB2312" w:hAnsi="仿宋" w:eastAsia="仿宋_GB2312" w:cs="仿宋"/>
          <w:sz w:val="32"/>
          <w:szCs w:val="32"/>
          <w:lang w:val="en-US" w:eastAsia="zh-CN"/>
        </w:rPr>
        <w:t>全面贯彻落实省市制造业重点产业链现代建设“1269”行动</w:t>
      </w:r>
      <w:r>
        <w:rPr>
          <w:rFonts w:hint="eastAsia" w:ascii="仿宋_GB2312" w:hAnsi="仿宋" w:eastAsia="仿宋_GB2312" w:cs="仿宋"/>
          <w:sz w:val="32"/>
          <w:szCs w:val="32"/>
        </w:rPr>
        <w:t>，</w:t>
      </w:r>
      <w:r>
        <w:rPr>
          <w:rFonts w:hint="eastAsia" w:ascii="仿宋_GB2312" w:eastAsia="仿宋_GB2312"/>
          <w:sz w:val="32"/>
          <w:szCs w:val="32"/>
          <w:lang w:val="en-US" w:eastAsia="zh-CN"/>
        </w:rPr>
        <w:t>加快构建具有铅山特色的现代化产业体系。</w:t>
      </w:r>
    </w:p>
    <w:p>
      <w:pPr>
        <w:pStyle w:val="16"/>
        <w:keepNext w:val="0"/>
        <w:keepLines w:val="0"/>
        <w:pageBreakBefore w:val="0"/>
        <w:widowControl w:val="0"/>
        <w:kinsoku/>
        <w:wordWrap/>
        <w:overflowPunct/>
        <w:topLinePunct w:val="0"/>
        <w:autoSpaceDE/>
        <w:autoSpaceDN/>
        <w:bidi w:val="0"/>
        <w:adjustRightInd/>
        <w:snapToGrid/>
        <w:spacing w:line="560" w:lineRule="exact"/>
        <w:rPr>
          <w:rFonts w:hint="eastAsia" w:ascii="仿宋_GB2312" w:eastAsia="仿宋_GB2312"/>
          <w:sz w:val="32"/>
          <w:szCs w:val="32"/>
          <w:lang w:val="en-US" w:eastAsia="zh-CN"/>
        </w:rPr>
      </w:pPr>
    </w:p>
    <w:p>
      <w:pPr>
        <w:pStyle w:val="16"/>
        <w:keepNext w:val="0"/>
        <w:keepLines w:val="0"/>
        <w:pageBreakBefore w:val="0"/>
        <w:widowControl w:val="0"/>
        <w:kinsoku/>
        <w:wordWrap/>
        <w:overflowPunct/>
        <w:topLinePunct w:val="0"/>
        <w:autoSpaceDE/>
        <w:autoSpaceDN/>
        <w:bidi w:val="0"/>
        <w:adjustRightInd/>
        <w:snapToGrid/>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附件：铅山县重点产业链链长分工安排</w:t>
      </w:r>
    </w:p>
    <w:p>
      <w:pPr>
        <w:pStyle w:val="17"/>
        <w:rPr>
          <w:rFonts w:hint="eastAsia" w:ascii="仿宋_GB2312" w:eastAsia="仿宋_GB2312"/>
          <w:sz w:val="32"/>
          <w:szCs w:val="32"/>
          <w:lang w:val="en-US" w:eastAsia="zh-CN"/>
        </w:rPr>
      </w:pPr>
    </w:p>
    <w:p>
      <w:pPr>
        <w:pStyle w:val="18"/>
        <w:rPr>
          <w:rFonts w:hint="eastAsia" w:ascii="仿宋_GB2312" w:eastAsia="仿宋_GB2312"/>
          <w:sz w:val="32"/>
          <w:szCs w:val="32"/>
          <w:lang w:val="en-US" w:eastAsia="zh-CN"/>
        </w:rPr>
      </w:pPr>
    </w:p>
    <w:p>
      <w:pPr>
        <w:pStyle w:val="19"/>
        <w:rPr>
          <w:rFonts w:hint="eastAsia" w:ascii="仿宋_GB2312" w:eastAsia="仿宋_GB2312"/>
          <w:sz w:val="32"/>
          <w:szCs w:val="32"/>
          <w:lang w:val="en-US" w:eastAsia="zh-CN"/>
        </w:rPr>
      </w:pPr>
    </w:p>
    <w:p>
      <w:pPr>
        <w:pStyle w:val="20"/>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pStyle w:val="12"/>
        <w:rPr>
          <w:rFonts w:hint="eastAsia" w:ascii="仿宋_GB2312" w:eastAsia="仿宋_GB2312"/>
          <w:sz w:val="32"/>
          <w:szCs w:val="32"/>
          <w:lang w:val="en-US" w:eastAsia="zh-CN"/>
        </w:rPr>
      </w:pPr>
    </w:p>
    <w:p>
      <w:pPr>
        <w:pStyle w:val="18"/>
        <w:jc w:val="left"/>
        <w:rPr>
          <w:rFonts w:hint="eastAsia" w:ascii="黑体" w:hAnsi="黑体" w:eastAsia="黑体" w:cs="黑体"/>
          <w:b/>
          <w:bCs/>
          <w:sz w:val="32"/>
          <w:szCs w:val="32"/>
          <w:lang w:val="en-US" w:eastAsia="zh-CN"/>
        </w:rPr>
      </w:pPr>
    </w:p>
    <w:p>
      <w:pPr>
        <w:pStyle w:val="19"/>
        <w:rPr>
          <w:rFonts w:hint="eastAsia"/>
          <w:lang w:val="en-US" w:eastAsia="zh-CN"/>
        </w:rPr>
      </w:pPr>
    </w:p>
    <w:p>
      <w:pPr>
        <w:pStyle w:val="18"/>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附  件</w:t>
      </w:r>
    </w:p>
    <w:tbl>
      <w:tblPr>
        <w:tblStyle w:val="26"/>
        <w:tblpPr w:leftFromText="180" w:rightFromText="180" w:vertAnchor="text" w:horzAnchor="page" w:tblpX="1694" w:tblpY="393"/>
        <w:tblOverlap w:val="never"/>
        <w:tblW w:w="512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5"/>
        <w:gridCol w:w="2062"/>
        <w:gridCol w:w="1252"/>
        <w:gridCol w:w="2835"/>
        <w:gridCol w:w="24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6"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微软雅黑" w:hAnsi="微软雅黑" w:eastAsia="微软雅黑" w:cs="微软雅黑"/>
                <w:i w:val="0"/>
                <w:iCs w:val="0"/>
                <w:color w:val="000000"/>
                <w:kern w:val="0"/>
                <w:sz w:val="42"/>
                <w:szCs w:val="42"/>
                <w:u w:val="none"/>
                <w:lang w:val="en-US" w:eastAsia="zh-CN" w:bidi="ar"/>
              </w:rPr>
            </w:pPr>
            <w:r>
              <w:rPr>
                <w:rFonts w:hint="eastAsia" w:ascii="方正小标宋_GBK" w:hAnsi="方正小标宋_GBK" w:eastAsia="方正小标宋_GBK" w:cs="方正小标宋_GBK"/>
                <w:i w:val="0"/>
                <w:iCs w:val="0"/>
                <w:color w:val="000000"/>
                <w:kern w:val="0"/>
                <w:sz w:val="44"/>
                <w:szCs w:val="44"/>
                <w:u w:val="none"/>
                <w:lang w:val="en-US" w:eastAsia="zh-CN" w:bidi="ar"/>
              </w:rPr>
              <w:t>铅山县重点产业链链长分工安排表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sz w:val="28"/>
                <w:szCs w:val="28"/>
                <w:u w:val="none"/>
              </w:rPr>
            </w:pPr>
            <w:r>
              <w:rPr>
                <w:rStyle w:val="74"/>
                <w:b/>
                <w:bCs/>
                <w:lang w:val="en-US" w:eastAsia="zh-CN" w:bidi="ar"/>
              </w:rPr>
              <w:t>序号</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sz w:val="28"/>
                <w:szCs w:val="28"/>
                <w:u w:val="none"/>
              </w:rPr>
            </w:pPr>
            <w:r>
              <w:rPr>
                <w:rStyle w:val="74"/>
                <w:b/>
                <w:bCs/>
                <w:lang w:val="en-US" w:eastAsia="zh-CN" w:bidi="ar"/>
              </w:rPr>
              <w:t>产业链</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sz w:val="28"/>
                <w:szCs w:val="28"/>
                <w:u w:val="none"/>
              </w:rPr>
            </w:pPr>
            <w:r>
              <w:rPr>
                <w:rStyle w:val="74"/>
                <w:b/>
                <w:bCs/>
                <w:lang w:val="en-US" w:eastAsia="zh-CN" w:bidi="ar"/>
              </w:rPr>
              <w:t>链长</w:t>
            </w:r>
          </w:p>
        </w:tc>
        <w:tc>
          <w:tcPr>
            <w:tcW w:w="1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sz w:val="28"/>
                <w:szCs w:val="28"/>
                <w:u w:val="none"/>
                <w:lang w:val="en-US" w:eastAsia="zh-CN"/>
              </w:rPr>
            </w:pPr>
            <w:r>
              <w:rPr>
                <w:rFonts w:hint="eastAsia" w:ascii="宋体" w:hAnsi="宋体" w:cs="宋体"/>
                <w:b/>
                <w:bCs/>
                <w:i w:val="0"/>
                <w:iCs w:val="0"/>
                <w:color w:val="000000"/>
                <w:sz w:val="28"/>
                <w:szCs w:val="28"/>
                <w:u w:val="none"/>
                <w:lang w:val="en-US" w:eastAsia="zh-CN"/>
              </w:rPr>
              <w:t>牵头部门</w:t>
            </w:r>
          </w:p>
        </w:tc>
        <w:tc>
          <w:tcPr>
            <w:tcW w:w="1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bCs/>
                <w:i w:val="0"/>
                <w:iCs w:val="0"/>
                <w:color w:val="000000"/>
                <w:kern w:val="2"/>
                <w:sz w:val="28"/>
                <w:szCs w:val="28"/>
                <w:u w:val="none"/>
                <w:lang w:val="en-US" w:eastAsia="zh-CN" w:bidi="ar-SA"/>
              </w:rPr>
            </w:pPr>
            <w:r>
              <w:rPr>
                <w:rStyle w:val="74"/>
                <w:b/>
                <w:bCs/>
                <w:lang w:val="en-US" w:eastAsia="zh-CN" w:bidi="ar"/>
              </w:rPr>
              <w:t>责 任 部 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1"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i w:val="0"/>
                <w:iCs w:val="0"/>
                <w:color w:val="000000"/>
                <w:sz w:val="20"/>
                <w:szCs w:val="20"/>
                <w:u w:val="none"/>
              </w:rPr>
            </w:pP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28"/>
                <w:szCs w:val="28"/>
                <w:u w:val="none"/>
              </w:rPr>
            </w:pPr>
            <w:r>
              <w:rPr>
                <w:rStyle w:val="74"/>
                <w:rFonts w:hint="eastAsia" w:ascii="仿宋_GB2312" w:hAnsi="仿宋_GB2312" w:eastAsia="仿宋_GB2312" w:cs="仿宋_GB2312"/>
                <w:lang w:val="en-US" w:eastAsia="zh-CN" w:bidi="ar"/>
              </w:rPr>
              <w:t>总链长</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未小刚</w:t>
            </w:r>
          </w:p>
        </w:tc>
        <w:tc>
          <w:tcPr>
            <w:tcW w:w="1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i w:val="0"/>
                <w:iCs w:val="0"/>
                <w:color w:val="000000"/>
                <w:sz w:val="20"/>
                <w:szCs w:val="20"/>
                <w:u w:val="none"/>
              </w:rPr>
            </w:pPr>
          </w:p>
        </w:tc>
        <w:tc>
          <w:tcPr>
            <w:tcW w:w="1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i w:val="0"/>
                <w:iCs w:val="0"/>
                <w:color w:val="000000"/>
                <w:kern w:val="2"/>
                <w:sz w:val="20"/>
                <w:szCs w:val="20"/>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2"/>
                <w:sz w:val="28"/>
                <w:szCs w:val="28"/>
                <w:u w:val="none"/>
                <w:lang w:val="en-US" w:eastAsia="zh-CN" w:bidi="ar-SA"/>
              </w:rPr>
              <w:t>1</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i w:val="0"/>
                <w:iCs w:val="0"/>
                <w:color w:val="000000"/>
                <w:kern w:val="2"/>
                <w:sz w:val="28"/>
                <w:szCs w:val="28"/>
                <w:u w:val="none"/>
                <w:lang w:val="en" w:eastAsia="zh-CN" w:bidi="ar-SA"/>
              </w:rPr>
            </w:pPr>
            <w:r>
              <w:rPr>
                <w:rFonts w:hint="default" w:ascii="仿宋_GB2312" w:hAnsi="仿宋_GB2312" w:eastAsia="仿宋_GB2312" w:cs="仿宋_GB2312"/>
                <w:i w:val="0"/>
                <w:iCs w:val="0"/>
                <w:color w:val="000000"/>
                <w:kern w:val="0"/>
                <w:sz w:val="28"/>
                <w:szCs w:val="28"/>
                <w:u w:val="none"/>
                <w:lang w:val="en" w:eastAsia="zh-CN" w:bidi="ar"/>
              </w:rPr>
              <w:t>新能源</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highlight w:val="none"/>
                <w:u w:val="none"/>
                <w:lang w:val="en-US" w:eastAsia="zh-CN" w:bidi="ar"/>
              </w:rPr>
              <w:t>罗剑锋</w:t>
            </w:r>
          </w:p>
        </w:tc>
        <w:tc>
          <w:tcPr>
            <w:tcW w:w="1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eastAsia="zh-CN"/>
              </w:rPr>
              <w:t>县发改委</w:t>
            </w:r>
          </w:p>
        </w:tc>
        <w:tc>
          <w:tcPr>
            <w:tcW w:w="1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县工信局、上饶市铅山县生态环境局、县应急管理局、县工业园区、各乡（镇）人民政府、青溪办事处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Style w:val="74"/>
                <w:rFonts w:hint="eastAsia" w:ascii="仿宋_GB2312" w:hAnsi="仿宋_GB2312" w:eastAsia="仿宋_GB2312" w:cs="仿宋_GB2312"/>
                <w:lang w:val="en-US" w:eastAsia="zh-CN" w:bidi="ar"/>
              </w:rPr>
              <w:t>有色金属（金属新材料）</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kern w:val="2"/>
                <w:sz w:val="28"/>
                <w:szCs w:val="28"/>
                <w:highlight w:val="none"/>
                <w:u w:val="none"/>
                <w:lang w:val="en-US" w:eastAsia="zh-CN" w:bidi="ar-SA"/>
              </w:rPr>
            </w:pPr>
            <w:r>
              <w:rPr>
                <w:rFonts w:hint="eastAsia" w:ascii="仿宋_GB2312" w:hAnsi="仿宋_GB2312" w:eastAsia="仿宋_GB2312" w:cs="仿宋_GB2312"/>
                <w:i w:val="0"/>
                <w:iCs w:val="0"/>
                <w:color w:val="000000"/>
                <w:kern w:val="0"/>
                <w:sz w:val="28"/>
                <w:szCs w:val="28"/>
                <w:highlight w:val="none"/>
                <w:u w:val="none"/>
                <w:lang w:val="en-US" w:eastAsia="zh-CN" w:bidi="ar"/>
              </w:rPr>
              <w:t>王宇昕</w:t>
            </w:r>
          </w:p>
        </w:tc>
        <w:tc>
          <w:tcPr>
            <w:tcW w:w="1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eastAsia="zh-CN"/>
              </w:rPr>
              <w:t>县工信局</w:t>
            </w:r>
          </w:p>
        </w:tc>
        <w:tc>
          <w:tcPr>
            <w:tcW w:w="1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县财政局、县发改委、上饶市铅山县生态环境局、县应急管理局、县工业园区、各乡（镇）人民政府、青溪办</w:t>
            </w:r>
          </w:p>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事处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Style w:val="74"/>
                <w:rFonts w:hint="eastAsia" w:ascii="仿宋_GB2312" w:hAnsi="仿宋_GB2312" w:eastAsia="仿宋_GB2312" w:cs="仿宋_GB2312"/>
                <w:lang w:val="en-US" w:eastAsia="zh-CN" w:bidi="ar"/>
              </w:rPr>
              <w:t>化工</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杨善新</w:t>
            </w:r>
          </w:p>
        </w:tc>
        <w:tc>
          <w:tcPr>
            <w:tcW w:w="1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sz w:val="28"/>
                <w:szCs w:val="28"/>
                <w:u w:val="none"/>
                <w:lang w:eastAsia="zh-CN"/>
              </w:rPr>
              <w:t>县工信局</w:t>
            </w:r>
          </w:p>
        </w:tc>
        <w:tc>
          <w:tcPr>
            <w:tcW w:w="1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县发改委、上饶市铅山县生态环境局、县应急管理局、县工业园区、各乡（镇）人民政府、青溪办事处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1"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新型建材</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黄斌</w:t>
            </w:r>
          </w:p>
        </w:tc>
        <w:tc>
          <w:tcPr>
            <w:tcW w:w="1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28"/>
                <w:szCs w:val="28"/>
                <w:u w:val="none"/>
                <w:lang w:eastAsia="zh-CN"/>
              </w:rPr>
            </w:pPr>
            <w:r>
              <w:rPr>
                <w:rFonts w:hint="eastAsia" w:ascii="仿宋_GB2312" w:hAnsi="仿宋_GB2312" w:eastAsia="仿宋_GB2312" w:cs="仿宋_GB2312"/>
                <w:i w:val="0"/>
                <w:iCs w:val="0"/>
                <w:color w:val="000000"/>
                <w:sz w:val="28"/>
                <w:szCs w:val="28"/>
                <w:u w:val="none"/>
                <w:lang w:eastAsia="zh-CN"/>
              </w:rPr>
              <w:t>县住建局</w:t>
            </w:r>
          </w:p>
        </w:tc>
        <w:tc>
          <w:tcPr>
            <w:tcW w:w="1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县工信局、县城市管理局、县自然资源局、县发改委、上饶市铅山县生态环境局、县应急管理局、县工业园区、各乡（镇）人</w:t>
            </w:r>
            <w:r>
              <w:rPr>
                <w:rFonts w:hint="eastAsia" w:ascii="仿宋_GB2312" w:hAnsi="仿宋_GB2312" w:eastAsia="仿宋_GB2312" w:cs="仿宋_GB2312"/>
                <w:i w:val="0"/>
                <w:iCs w:val="0"/>
                <w:color w:val="000000"/>
                <w:spacing w:val="-20"/>
                <w:kern w:val="0"/>
                <w:sz w:val="28"/>
                <w:szCs w:val="28"/>
                <w:u w:val="none"/>
                <w:lang w:val="en-US" w:eastAsia="zh-CN" w:bidi="ar"/>
              </w:rPr>
              <w:t>民政府、青溪办事处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28"/>
                <w:szCs w:val="28"/>
                <w:u w:val="none"/>
              </w:rPr>
            </w:pPr>
            <w:r>
              <w:rPr>
                <w:rStyle w:val="74"/>
                <w:rFonts w:hint="eastAsia" w:ascii="仿宋_GB2312" w:hAnsi="仿宋_GB2312" w:eastAsia="仿宋_GB2312" w:cs="仿宋_GB2312"/>
                <w:lang w:val="en-US" w:eastAsia="zh-CN" w:bidi="ar"/>
              </w:rPr>
              <w:t>绿色食品</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童瑛</w:t>
            </w:r>
          </w:p>
        </w:tc>
        <w:tc>
          <w:tcPr>
            <w:tcW w:w="1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28"/>
                <w:szCs w:val="28"/>
                <w:u w:val="none"/>
                <w:lang w:eastAsia="zh-CN"/>
              </w:rPr>
            </w:pPr>
            <w:r>
              <w:rPr>
                <w:rFonts w:hint="eastAsia" w:ascii="仿宋_GB2312" w:hAnsi="仿宋_GB2312" w:eastAsia="仿宋_GB2312" w:cs="仿宋_GB2312"/>
                <w:i w:val="0"/>
                <w:iCs w:val="0"/>
                <w:color w:val="000000"/>
                <w:sz w:val="28"/>
                <w:szCs w:val="28"/>
                <w:u w:val="none"/>
                <w:lang w:eastAsia="zh-CN"/>
              </w:rPr>
              <w:t>县农业农村局</w:t>
            </w:r>
          </w:p>
        </w:tc>
        <w:tc>
          <w:tcPr>
            <w:tcW w:w="1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县工信局、县发改委、上饶市铅山县生态环境局、县应急管理局、县农业农村局、县工业园区、县农业产业园、两红办产业中心、各乡（镇）人</w:t>
            </w:r>
            <w:r>
              <w:rPr>
                <w:rFonts w:hint="eastAsia" w:ascii="仿宋_GB2312" w:hAnsi="仿宋_GB2312" w:eastAsia="仿宋_GB2312" w:cs="仿宋_GB2312"/>
                <w:i w:val="0"/>
                <w:iCs w:val="0"/>
                <w:color w:val="000000"/>
                <w:spacing w:val="-20"/>
                <w:kern w:val="0"/>
                <w:sz w:val="28"/>
                <w:szCs w:val="28"/>
                <w:u w:val="none"/>
                <w:lang w:val="en-US" w:eastAsia="zh-CN" w:bidi="ar"/>
              </w:rPr>
              <w:t>民政府、青溪办事处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6</w:t>
            </w:r>
          </w:p>
        </w:tc>
        <w:tc>
          <w:tcPr>
            <w:tcW w:w="11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电子信息</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胡奎</w:t>
            </w:r>
          </w:p>
        </w:tc>
        <w:tc>
          <w:tcPr>
            <w:tcW w:w="1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28"/>
                <w:szCs w:val="28"/>
                <w:u w:val="none"/>
                <w:lang w:eastAsia="zh-CN"/>
              </w:rPr>
            </w:pPr>
            <w:r>
              <w:rPr>
                <w:rFonts w:hint="eastAsia" w:ascii="仿宋_GB2312" w:hAnsi="仿宋_GB2312" w:eastAsia="仿宋_GB2312" w:cs="仿宋_GB2312"/>
                <w:i w:val="0"/>
                <w:iCs w:val="0"/>
                <w:color w:val="000000"/>
                <w:sz w:val="28"/>
                <w:szCs w:val="28"/>
                <w:u w:val="none"/>
                <w:lang w:eastAsia="zh-CN"/>
              </w:rPr>
              <w:t>县工信局</w:t>
            </w:r>
          </w:p>
        </w:tc>
        <w:tc>
          <w:tcPr>
            <w:tcW w:w="1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县发改委、上饶市铅山县生态环境局、县应急管理局、县科技局、县工业园区、各乡（镇）人民政府、</w:t>
            </w:r>
          </w:p>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青溪办事处</w:t>
            </w:r>
          </w:p>
        </w:tc>
      </w:tr>
    </w:tbl>
    <w:p>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left="0" w:leftChars="0" w:right="0" w:rightChars="0" w:firstLine="0" w:firstLineChars="0"/>
        <w:jc w:val="both"/>
        <w:textAlignment w:val="auto"/>
        <w:outlineLvl w:val="9"/>
        <w:rPr>
          <w:rFonts w:hint="eastAsia" w:ascii="仿宋_GB2312" w:hAnsi="仿宋_GB2312" w:eastAsia="仿宋_GB2312" w:cs="仿宋_GB2312"/>
          <w:spacing w:val="-10"/>
          <w:sz w:val="28"/>
          <w:szCs w:val="28"/>
          <w:u w:val="thick"/>
          <w:lang w:val="en-US" w:eastAsia="zh-CN"/>
        </w:rPr>
      </w:pPr>
    </w:p>
    <w:p>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left="0" w:leftChars="0" w:right="0" w:rightChars="0" w:firstLine="0" w:firstLineChars="0"/>
        <w:jc w:val="both"/>
        <w:textAlignment w:val="auto"/>
        <w:outlineLvl w:val="9"/>
        <w:rPr>
          <w:rFonts w:hint="eastAsia" w:ascii="仿宋_GB2312" w:hAnsi="仿宋_GB2312" w:eastAsia="仿宋_GB2312" w:cs="仿宋_GB2312"/>
          <w:spacing w:val="-10"/>
          <w:sz w:val="28"/>
          <w:szCs w:val="28"/>
          <w:u w:val="thick"/>
          <w:lang w:val="en-US" w:eastAsia="zh-CN"/>
        </w:rPr>
      </w:pPr>
    </w:p>
    <w:p>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left="0" w:leftChars="0" w:right="0" w:rightChars="0" w:firstLine="0" w:firstLineChars="0"/>
        <w:jc w:val="both"/>
        <w:textAlignment w:val="auto"/>
        <w:outlineLvl w:val="9"/>
        <w:rPr>
          <w:rFonts w:hint="eastAsia" w:ascii="仿宋_GB2312" w:hAnsi="仿宋_GB2312" w:eastAsia="仿宋_GB2312" w:cs="仿宋_GB2312"/>
          <w:spacing w:val="-10"/>
          <w:sz w:val="28"/>
          <w:szCs w:val="28"/>
          <w:u w:val="thick"/>
          <w:lang w:val="en-US" w:eastAsia="zh-CN"/>
        </w:rPr>
      </w:pPr>
    </w:p>
    <w:p>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left="0" w:leftChars="0" w:right="0" w:rightChars="0" w:firstLine="0" w:firstLineChars="0"/>
        <w:jc w:val="both"/>
        <w:textAlignment w:val="auto"/>
        <w:outlineLvl w:val="9"/>
        <w:rPr>
          <w:rFonts w:hint="eastAsia" w:ascii="仿宋_GB2312" w:hAnsi="仿宋_GB2312" w:eastAsia="仿宋_GB2312" w:cs="仿宋_GB2312"/>
          <w:spacing w:val="-10"/>
          <w:sz w:val="28"/>
          <w:szCs w:val="28"/>
          <w:u w:val="thick"/>
          <w:lang w:val="en-US" w:eastAsia="zh-CN"/>
        </w:rPr>
      </w:pPr>
    </w:p>
    <w:p>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left="0" w:leftChars="0" w:right="0" w:rightChars="0" w:firstLine="0" w:firstLineChars="0"/>
        <w:jc w:val="both"/>
        <w:textAlignment w:val="auto"/>
        <w:outlineLvl w:val="9"/>
        <w:rPr>
          <w:rFonts w:hint="eastAsia" w:ascii="仿宋_GB2312" w:hAnsi="仿宋_GB2312" w:eastAsia="仿宋_GB2312" w:cs="仿宋_GB2312"/>
          <w:spacing w:val="-10"/>
          <w:sz w:val="28"/>
          <w:szCs w:val="28"/>
          <w:u w:val="thick"/>
          <w:lang w:val="en-US" w:eastAsia="zh-CN"/>
        </w:rPr>
      </w:pPr>
    </w:p>
    <w:p>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left="0" w:leftChars="0" w:right="0" w:rightChars="0" w:firstLine="0" w:firstLineChars="0"/>
        <w:jc w:val="both"/>
        <w:textAlignment w:val="auto"/>
        <w:outlineLvl w:val="9"/>
        <w:rPr>
          <w:rFonts w:hint="eastAsia" w:ascii="仿宋_GB2312" w:hAnsi="仿宋_GB2312" w:eastAsia="仿宋_GB2312" w:cs="仿宋_GB2312"/>
          <w:spacing w:val="-10"/>
          <w:sz w:val="28"/>
          <w:szCs w:val="28"/>
          <w:u w:val="thick"/>
          <w:lang w:val="en-US" w:eastAsia="zh-CN"/>
        </w:rPr>
      </w:pPr>
    </w:p>
    <w:p>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left="0" w:leftChars="0" w:right="0" w:rightChars="0" w:firstLine="0" w:firstLineChars="0"/>
        <w:jc w:val="both"/>
        <w:textAlignment w:val="auto"/>
        <w:outlineLvl w:val="9"/>
        <w:rPr>
          <w:rFonts w:hint="eastAsia" w:ascii="仿宋_GB2312" w:hAnsi="仿宋_GB2312" w:eastAsia="仿宋_GB2312" w:cs="仿宋_GB2312"/>
          <w:spacing w:val="-10"/>
          <w:sz w:val="28"/>
          <w:szCs w:val="28"/>
          <w:u w:val="thick"/>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rPr>
          <w:rFonts w:hint="eastAsia"/>
          <w:lang w:val="en-US" w:eastAsia="zh-CN"/>
        </w:rPr>
      </w:pPr>
    </w:p>
    <w:p>
      <w:pPr>
        <w:pStyle w:val="12"/>
        <w:rPr>
          <w:rFonts w:hint="eastAsia"/>
          <w:lang w:val="en-US" w:eastAsia="zh-CN"/>
        </w:rPr>
      </w:pPr>
    </w:p>
    <w:p>
      <w:pPr>
        <w:pStyle w:val="13"/>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left="0" w:leftChars="0" w:right="0" w:rightChars="0" w:firstLine="0" w:firstLineChars="0"/>
        <w:jc w:val="both"/>
        <w:textAlignment w:val="auto"/>
        <w:outlineLvl w:val="9"/>
        <w:rPr>
          <w:rFonts w:hint="eastAsia" w:ascii="仿宋_GB2312" w:hAnsi="仿宋_GB2312" w:eastAsia="仿宋_GB2312" w:cs="仿宋_GB2312"/>
          <w:spacing w:val="-10"/>
          <w:sz w:val="28"/>
          <w:szCs w:val="28"/>
          <w:u w:val="thick"/>
          <w:lang w:val="en-US" w:eastAsia="zh-CN"/>
        </w:rPr>
      </w:pPr>
    </w:p>
    <w:p>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left="0" w:leftChars="0" w:right="0" w:rightChars="0" w:firstLine="0" w:firstLineChars="0"/>
        <w:jc w:val="both"/>
        <w:textAlignment w:val="auto"/>
        <w:outlineLvl w:val="9"/>
        <w:rPr>
          <w:rFonts w:hint="eastAsia" w:ascii="仿宋_GB2312" w:hAnsi="仿宋_GB2312" w:eastAsia="仿宋_GB2312" w:cs="仿宋_GB2312"/>
          <w:spacing w:val="-10"/>
          <w:sz w:val="28"/>
          <w:szCs w:val="28"/>
          <w:u w:val="thick"/>
          <w:lang w:val="en-US" w:eastAsia="zh-CN"/>
        </w:rPr>
      </w:pPr>
    </w:p>
    <w:p>
      <w:pPr>
        <w:keepNext w:val="0"/>
        <w:keepLines w:val="0"/>
        <w:pageBreakBefore w:val="0"/>
        <w:widowControl w:val="0"/>
        <w:kinsoku/>
        <w:wordWrap/>
        <w:overflowPunct/>
        <w:topLinePunct w:val="0"/>
        <w:autoSpaceDE/>
        <w:autoSpaceDN/>
        <w:bidi w:val="0"/>
        <w:adjustRightInd/>
        <w:snapToGrid w:val="0"/>
        <w:spacing w:before="0" w:beforeLines="0" w:after="0" w:afterLines="0" w:line="520" w:lineRule="exact"/>
        <w:ind w:left="0" w:leftChars="0" w:right="0" w:rightChars="0" w:firstLine="0" w:firstLineChars="0"/>
        <w:jc w:val="both"/>
        <w:textAlignment w:val="auto"/>
        <w:outlineLvl w:val="9"/>
        <w:rPr>
          <w:rFonts w:hint="default" w:ascii="仿宋_GB2312" w:hAnsi="仿宋_GB2312" w:eastAsia="仿宋_GB2312" w:cs="仿宋_GB2312"/>
          <w:spacing w:val="-10"/>
          <w:sz w:val="28"/>
          <w:szCs w:val="28"/>
          <w:u w:val="thick"/>
          <w:lang w:val="en-US" w:eastAsia="zh-CN"/>
        </w:rPr>
      </w:pPr>
      <w:r>
        <w:rPr>
          <w:rFonts w:hint="eastAsia" w:ascii="仿宋_GB2312" w:hAnsi="仿宋_GB2312" w:eastAsia="仿宋_GB2312" w:cs="仿宋_GB2312"/>
          <w:spacing w:val="-10"/>
          <w:sz w:val="28"/>
          <w:szCs w:val="28"/>
          <w:u w:val="thick"/>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铅山县人民政府办公室秘书</w:t>
      </w:r>
      <w:r>
        <w:rPr>
          <w:rFonts w:hint="eastAsia" w:ascii="仿宋_GB2312" w:hAnsi="仿宋_GB2312" w:eastAsia="仿宋_GB2312" w:cs="仿宋_GB2312"/>
          <w:sz w:val="28"/>
          <w:szCs w:val="28"/>
          <w:u w:val="thick"/>
          <w:lang w:eastAsia="zh-CN"/>
        </w:rPr>
        <w:t>股</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20</w:t>
      </w:r>
      <w:r>
        <w:rPr>
          <w:rFonts w:hint="eastAsia" w:ascii="仿宋_GB2312" w:hAnsi="仿宋_GB2312" w:eastAsia="仿宋_GB2312" w:cs="仿宋_GB2312"/>
          <w:sz w:val="28"/>
          <w:szCs w:val="28"/>
          <w:u w:val="thick"/>
          <w:lang w:val="en-US" w:eastAsia="zh-CN"/>
        </w:rPr>
        <w:t>23</w:t>
      </w:r>
      <w:r>
        <w:rPr>
          <w:rFonts w:hint="eastAsia" w:ascii="仿宋_GB2312" w:hAnsi="仿宋_GB2312" w:eastAsia="仿宋_GB2312" w:cs="仿宋_GB2312"/>
          <w:sz w:val="28"/>
          <w:szCs w:val="28"/>
          <w:u w:val="thick"/>
        </w:rPr>
        <w:t>年</w:t>
      </w:r>
      <w:r>
        <w:rPr>
          <w:rFonts w:hint="eastAsia" w:ascii="仿宋_GB2312" w:hAnsi="仿宋_GB2312" w:eastAsia="仿宋_GB2312" w:cs="仿宋_GB2312"/>
          <w:sz w:val="28"/>
          <w:szCs w:val="28"/>
          <w:u w:val="thick"/>
          <w:lang w:val="en-US" w:eastAsia="zh-CN"/>
        </w:rPr>
        <w:t>11</w:t>
      </w:r>
      <w:r>
        <w:rPr>
          <w:rFonts w:hint="eastAsia" w:ascii="仿宋_GB2312" w:hAnsi="仿宋_GB2312" w:eastAsia="仿宋_GB2312" w:cs="仿宋_GB2312"/>
          <w:sz w:val="28"/>
          <w:szCs w:val="28"/>
          <w:u w:val="thick"/>
        </w:rPr>
        <w:t>月</w:t>
      </w:r>
      <w:r>
        <w:rPr>
          <w:rFonts w:hint="eastAsia" w:ascii="仿宋_GB2312" w:hAnsi="仿宋_GB2312" w:eastAsia="仿宋_GB2312" w:cs="仿宋_GB2312"/>
          <w:sz w:val="28"/>
          <w:szCs w:val="28"/>
          <w:u w:val="thick"/>
          <w:lang w:val="en-US" w:eastAsia="zh-CN"/>
        </w:rPr>
        <w:t>16</w:t>
      </w:r>
      <w:r>
        <w:rPr>
          <w:rFonts w:hint="eastAsia" w:ascii="仿宋_GB2312" w:hAnsi="仿宋_GB2312" w:eastAsia="仿宋_GB2312" w:cs="仿宋_GB2312"/>
          <w:sz w:val="28"/>
          <w:szCs w:val="28"/>
          <w:u w:val="thick"/>
        </w:rPr>
        <w:t>日印发</w:t>
      </w:r>
      <w:r>
        <w:rPr>
          <w:rFonts w:hint="eastAsia" w:ascii="仿宋_GB2312" w:hAnsi="仿宋_GB2312" w:eastAsia="仿宋_GB2312" w:cs="仿宋_GB2312"/>
          <w:sz w:val="28"/>
          <w:szCs w:val="28"/>
          <w:u w:val="thick"/>
          <w:lang w:eastAsia="zh-CN"/>
        </w:rPr>
        <w:t>　　　　　</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lang w:val="en-US"/>
        </w:rPr>
        <w:t xml:space="preserve"> </w:t>
      </w:r>
    </w:p>
    <w:p>
      <w:pPr>
        <w:keepNext w:val="0"/>
        <w:keepLines w:val="0"/>
        <w:widowControl/>
        <w:suppressLineNumbers w:val="0"/>
        <w:jc w:val="left"/>
      </w:pPr>
      <w:bookmarkStart w:id="85" w:name="_2020年铅山县政府工作报告解读"/>
    </w:p>
    <w:p>
      <w:pPr>
        <w:pStyle w:val="19"/>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1457325" cy="7926705"/>
            <wp:effectExtent l="0" t="0" r="9525" b="17145"/>
            <wp:docPr id="11" name="图片 11" descr="274ad031d4504ef0a239736e9c537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74ad031d4504ef0a239736e9c537b9f"/>
                    <pic:cNvPicPr>
                      <a:picLocks noChangeAspect="1"/>
                    </pic:cNvPicPr>
                  </pic:nvPicPr>
                  <pic:blipFill>
                    <a:blip r:embed="rId15"/>
                    <a:stretch>
                      <a:fillRect/>
                    </a:stretch>
                  </pic:blipFill>
                  <pic:spPr>
                    <a:xfrm>
                      <a:off x="0" y="0"/>
                      <a:ext cx="1457325" cy="7926705"/>
                    </a:xfrm>
                    <a:prstGeom prst="rect">
                      <a:avLst/>
                    </a:prstGeom>
                  </pic:spPr>
                </pic:pic>
              </a:graphicData>
            </a:graphic>
          </wp:inline>
        </w:drawing>
      </w:r>
    </w:p>
    <w:p>
      <w:pPr>
        <w:pStyle w:val="2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1485900" cy="8079740"/>
            <wp:effectExtent l="0" t="0" r="0" b="16510"/>
            <wp:docPr id="14" name="图片 14" descr="cd214b027378453097a9c065cff99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d214b027378453097a9c065cff999c0"/>
                    <pic:cNvPicPr>
                      <a:picLocks noChangeAspect="1"/>
                    </pic:cNvPicPr>
                  </pic:nvPicPr>
                  <pic:blipFill>
                    <a:blip r:embed="rId16"/>
                    <a:stretch>
                      <a:fillRect/>
                    </a:stretch>
                  </pic:blipFill>
                  <pic:spPr>
                    <a:xfrm>
                      <a:off x="0" y="0"/>
                      <a:ext cx="1485900" cy="8079740"/>
                    </a:xfrm>
                    <a:prstGeom prst="rect">
                      <a:avLst/>
                    </a:prstGeom>
                  </pic:spPr>
                </pic:pic>
              </a:graphicData>
            </a:graphic>
          </wp:inline>
        </w:drawing>
      </w:r>
    </w:p>
    <w:p>
      <w:pPr>
        <w:jc w:val="center"/>
        <w:rPr>
          <w:rFonts w:hint="eastAsia" w:eastAsiaTheme="minorEastAsia"/>
          <w:lang w:eastAsia="zh-CN"/>
        </w:rPr>
      </w:pPr>
      <w:r>
        <w:rPr>
          <w:rFonts w:hint="eastAsia" w:eastAsiaTheme="minorEastAsia"/>
          <w:lang w:eastAsia="zh-CN"/>
        </w:rPr>
        <w:drawing>
          <wp:inline distT="0" distB="0" distL="114300" distR="114300">
            <wp:extent cx="1668780" cy="8095615"/>
            <wp:effectExtent l="0" t="0" r="7620" b="635"/>
            <wp:docPr id="15" name="图片 15" descr="15cc9b3415f948bb98dea6a56591e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cc9b3415f948bb98dea6a56591e93d"/>
                    <pic:cNvPicPr>
                      <a:picLocks noChangeAspect="1"/>
                    </pic:cNvPicPr>
                  </pic:nvPicPr>
                  <pic:blipFill>
                    <a:blip r:embed="rId17"/>
                    <a:stretch>
                      <a:fillRect/>
                    </a:stretch>
                  </pic:blipFill>
                  <pic:spPr>
                    <a:xfrm>
                      <a:off x="0" y="0"/>
                      <a:ext cx="1668780" cy="8095615"/>
                    </a:xfrm>
                    <a:prstGeom prst="rect">
                      <a:avLst/>
                    </a:prstGeom>
                  </pic:spPr>
                </pic:pic>
              </a:graphicData>
            </a:graphic>
          </wp:inline>
        </w:drawing>
      </w:r>
    </w:p>
    <w:p>
      <w:pPr>
        <w:pStyle w:val="2"/>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577340" cy="8077835"/>
            <wp:effectExtent l="0" t="0" r="3810" b="18415"/>
            <wp:docPr id="16" name="图片 16" descr="1ec718f1539d484fb3942f7faeb9a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ec718f1539d484fb3942f7faeb9ab17"/>
                    <pic:cNvPicPr>
                      <a:picLocks noChangeAspect="1"/>
                    </pic:cNvPicPr>
                  </pic:nvPicPr>
                  <pic:blipFill>
                    <a:blip r:embed="rId18"/>
                    <a:stretch>
                      <a:fillRect/>
                    </a:stretch>
                  </pic:blipFill>
                  <pic:spPr>
                    <a:xfrm>
                      <a:off x="0" y="0"/>
                      <a:ext cx="1577340" cy="8077835"/>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729740" cy="8079740"/>
            <wp:effectExtent l="0" t="0" r="3810" b="16510"/>
            <wp:docPr id="18" name="图片 18" descr="69d508eafd1f41acb0d0e9faed93e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9d508eafd1f41acb0d0e9faed93efdc"/>
                    <pic:cNvPicPr>
                      <a:picLocks noChangeAspect="1"/>
                    </pic:cNvPicPr>
                  </pic:nvPicPr>
                  <pic:blipFill>
                    <a:blip r:embed="rId19"/>
                    <a:stretch>
                      <a:fillRect/>
                    </a:stretch>
                  </pic:blipFill>
                  <pic:spPr>
                    <a:xfrm>
                      <a:off x="0" y="0"/>
                      <a:ext cx="1729740" cy="8079740"/>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752600" cy="8081645"/>
            <wp:effectExtent l="0" t="0" r="0" b="14605"/>
            <wp:docPr id="21" name="图片 21" descr="c2b470717d3d4682988cdff7b1c53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2b470717d3d4682988cdff7b1c5321f"/>
                    <pic:cNvPicPr>
                      <a:picLocks noChangeAspect="1"/>
                    </pic:cNvPicPr>
                  </pic:nvPicPr>
                  <pic:blipFill>
                    <a:blip r:embed="rId20"/>
                    <a:stretch>
                      <a:fillRect/>
                    </a:stretch>
                  </pic:blipFill>
                  <pic:spPr>
                    <a:xfrm>
                      <a:off x="0" y="0"/>
                      <a:ext cx="1752600" cy="8081645"/>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706880" cy="8079740"/>
            <wp:effectExtent l="0" t="0" r="7620" b="16510"/>
            <wp:docPr id="22" name="图片 22" descr="598e2707656f4607a6a058907ff7c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98e2707656f4607a6a058907ff7c84d"/>
                    <pic:cNvPicPr>
                      <a:picLocks noChangeAspect="1"/>
                    </pic:cNvPicPr>
                  </pic:nvPicPr>
                  <pic:blipFill>
                    <a:blip r:embed="rId21"/>
                    <a:stretch>
                      <a:fillRect/>
                    </a:stretch>
                  </pic:blipFill>
                  <pic:spPr>
                    <a:xfrm>
                      <a:off x="0" y="0"/>
                      <a:ext cx="1706880" cy="8079740"/>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638300" cy="8099425"/>
            <wp:effectExtent l="0" t="0" r="0" b="15875"/>
            <wp:docPr id="23" name="图片 23" descr="5d8bb64525c04279af22a6019ef6b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d8bb64525c04279af22a6019ef6bfa0"/>
                    <pic:cNvPicPr>
                      <a:picLocks noChangeAspect="1"/>
                    </pic:cNvPicPr>
                  </pic:nvPicPr>
                  <pic:blipFill>
                    <a:blip r:embed="rId22"/>
                    <a:stretch>
                      <a:fillRect/>
                    </a:stretch>
                  </pic:blipFill>
                  <pic:spPr>
                    <a:xfrm>
                      <a:off x="0" y="0"/>
                      <a:ext cx="1638300" cy="8099425"/>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584960" cy="8075295"/>
            <wp:effectExtent l="0" t="0" r="15240" b="1905"/>
            <wp:docPr id="24" name="图片 24" descr="7c215e54ea41475b83206dc8c86e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c215e54ea41475b83206dc8c86e6621"/>
                    <pic:cNvPicPr>
                      <a:picLocks noChangeAspect="1"/>
                    </pic:cNvPicPr>
                  </pic:nvPicPr>
                  <pic:blipFill>
                    <a:blip r:embed="rId23"/>
                    <a:stretch>
                      <a:fillRect/>
                    </a:stretch>
                  </pic:blipFill>
                  <pic:spPr>
                    <a:xfrm>
                      <a:off x="0" y="0"/>
                      <a:ext cx="1584960" cy="8075295"/>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242060" cy="8077835"/>
            <wp:effectExtent l="0" t="0" r="15240" b="18415"/>
            <wp:docPr id="25" name="图片 25" descr="f7ff681547674ff68e2a7a540997e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7ff681547674ff68e2a7a540997ec93"/>
                    <pic:cNvPicPr>
                      <a:picLocks noChangeAspect="1"/>
                    </pic:cNvPicPr>
                  </pic:nvPicPr>
                  <pic:blipFill>
                    <a:blip r:embed="rId24"/>
                    <a:stretch>
                      <a:fillRect/>
                    </a:stretch>
                  </pic:blipFill>
                  <pic:spPr>
                    <a:xfrm>
                      <a:off x="0" y="0"/>
                      <a:ext cx="1242060" cy="8077835"/>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2301240" cy="8074660"/>
            <wp:effectExtent l="0" t="0" r="3810" b="2540"/>
            <wp:docPr id="26" name="图片 26" descr="1200a95f5f53439da049d6d47609d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200a95f5f53439da049d6d47609d2ba"/>
                    <pic:cNvPicPr>
                      <a:picLocks noChangeAspect="1"/>
                    </pic:cNvPicPr>
                  </pic:nvPicPr>
                  <pic:blipFill>
                    <a:blip r:embed="rId25"/>
                    <a:stretch>
                      <a:fillRect/>
                    </a:stretch>
                  </pic:blipFill>
                  <pic:spPr>
                    <a:xfrm>
                      <a:off x="0" y="0"/>
                      <a:ext cx="2301240" cy="8074660"/>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082040" cy="8078470"/>
            <wp:effectExtent l="0" t="0" r="3810" b="17780"/>
            <wp:docPr id="27" name="图片 27" descr="1bba4b3ae2704d25b90dba9e47057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bba4b3ae2704d25b90dba9e4705764f"/>
                    <pic:cNvPicPr>
                      <a:picLocks noChangeAspect="1"/>
                    </pic:cNvPicPr>
                  </pic:nvPicPr>
                  <pic:blipFill>
                    <a:blip r:embed="rId26"/>
                    <a:stretch>
                      <a:fillRect/>
                    </a:stretch>
                  </pic:blipFill>
                  <pic:spPr>
                    <a:xfrm>
                      <a:off x="0" y="0"/>
                      <a:ext cx="1082040" cy="8078470"/>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676400" cy="8074025"/>
            <wp:effectExtent l="0" t="0" r="0" b="3175"/>
            <wp:docPr id="28" name="图片 28" descr="c050f706eb914ae6b72e1352717f7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050f706eb914ae6b72e1352717f7a9a"/>
                    <pic:cNvPicPr>
                      <a:picLocks noChangeAspect="1"/>
                    </pic:cNvPicPr>
                  </pic:nvPicPr>
                  <pic:blipFill>
                    <a:blip r:embed="rId27"/>
                    <a:stretch>
                      <a:fillRect/>
                    </a:stretch>
                  </pic:blipFill>
                  <pic:spPr>
                    <a:xfrm>
                      <a:off x="0" y="0"/>
                      <a:ext cx="1676400" cy="8074025"/>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417320" cy="8075295"/>
            <wp:effectExtent l="0" t="0" r="11430" b="1905"/>
            <wp:docPr id="29" name="图片 29" descr="06c651e6e146471e88a18da74040c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6c651e6e146471e88a18da74040cbfb"/>
                    <pic:cNvPicPr>
                      <a:picLocks noChangeAspect="1"/>
                    </pic:cNvPicPr>
                  </pic:nvPicPr>
                  <pic:blipFill>
                    <a:blip r:embed="rId28"/>
                    <a:stretch>
                      <a:fillRect/>
                    </a:stretch>
                  </pic:blipFill>
                  <pic:spPr>
                    <a:xfrm>
                      <a:off x="0" y="0"/>
                      <a:ext cx="1417320" cy="8075295"/>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402080" cy="8072755"/>
            <wp:effectExtent l="0" t="0" r="7620" b="4445"/>
            <wp:docPr id="30" name="图片 30" descr="8870733573e147faad9a35e8ab22f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870733573e147faad9a35e8ab22f119"/>
                    <pic:cNvPicPr>
                      <a:picLocks noChangeAspect="1"/>
                    </pic:cNvPicPr>
                  </pic:nvPicPr>
                  <pic:blipFill>
                    <a:blip r:embed="rId29"/>
                    <a:stretch>
                      <a:fillRect/>
                    </a:stretch>
                  </pic:blipFill>
                  <pic:spPr>
                    <a:xfrm>
                      <a:off x="0" y="0"/>
                      <a:ext cx="1402080" cy="8072755"/>
                    </a:xfrm>
                    <a:prstGeom prst="rect">
                      <a:avLst/>
                    </a:prstGeom>
                  </pic:spPr>
                </pic:pic>
              </a:graphicData>
            </a:graphic>
          </wp:inline>
        </w:drawing>
      </w:r>
    </w:p>
    <w:p>
      <w:pPr>
        <w:pStyle w:val="3"/>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1021080" cy="8075295"/>
            <wp:effectExtent l="0" t="0" r="7620" b="1905"/>
            <wp:docPr id="31" name="图片 31" descr="d179da8ae4ce4b0bbd6db42d798ec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179da8ae4ce4b0bbd6db42d798ece74"/>
                    <pic:cNvPicPr>
                      <a:picLocks noChangeAspect="1"/>
                    </pic:cNvPicPr>
                  </pic:nvPicPr>
                  <pic:blipFill>
                    <a:blip r:embed="rId30"/>
                    <a:stretch>
                      <a:fillRect/>
                    </a:stretch>
                  </pic:blipFill>
                  <pic:spPr>
                    <a:xfrm>
                      <a:off x="0" y="0"/>
                      <a:ext cx="1021080" cy="8075295"/>
                    </a:xfrm>
                    <a:prstGeom prst="rect">
                      <a:avLst/>
                    </a:prstGeom>
                  </pic:spPr>
                </pic:pic>
              </a:graphicData>
            </a:graphic>
          </wp:inline>
        </w:drawing>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1115695" cy="8065135"/>
            <wp:effectExtent l="0" t="0" r="8255" b="12065"/>
            <wp:docPr id="32" name="图片 32" descr="336823f8df794b87a955edc95257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36823f8df794b87a955edc952578060"/>
                    <pic:cNvPicPr>
                      <a:picLocks noChangeAspect="1"/>
                    </pic:cNvPicPr>
                  </pic:nvPicPr>
                  <pic:blipFill>
                    <a:blip r:embed="rId31"/>
                    <a:stretch>
                      <a:fillRect/>
                    </a:stretch>
                  </pic:blipFill>
                  <pic:spPr>
                    <a:xfrm>
                      <a:off x="0" y="0"/>
                      <a:ext cx="1115695" cy="8065135"/>
                    </a:xfrm>
                    <a:prstGeom prst="rect">
                      <a:avLst/>
                    </a:prstGeom>
                  </pic:spPr>
                </pic:pic>
              </a:graphicData>
            </a:graphic>
          </wp:inline>
        </w:drawing>
      </w:r>
    </w:p>
    <w:bookmarkEnd w:id="85"/>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sz w:val="44"/>
          <w:szCs w:val="44"/>
          <w:highlight w:val="none"/>
        </w:rPr>
      </w:pPr>
      <w:r>
        <w:rPr>
          <w:rFonts w:hint="eastAsia" w:ascii="Times New Roman" w:hAnsi="Times New Roman" w:eastAsia="方正小标宋简体" w:cs="Times New Roman"/>
          <w:sz w:val="44"/>
          <w:szCs w:val="44"/>
          <w:highlight w:val="none"/>
          <w:lang w:eastAsia="zh-CN"/>
        </w:rPr>
        <w:t>关于</w:t>
      </w:r>
      <w:r>
        <w:rPr>
          <w:rFonts w:hint="eastAsia" w:eastAsia="方正小标宋_GBK" w:cs="Times New Roman"/>
          <w:sz w:val="44"/>
          <w:szCs w:val="44"/>
          <w:highlight w:val="none"/>
          <w:lang w:val="en-US" w:eastAsia="zh-CN"/>
        </w:rPr>
        <w:t>张建波</w:t>
      </w:r>
      <w:r>
        <w:rPr>
          <w:rFonts w:hint="default" w:ascii="Times New Roman" w:hAnsi="Times New Roman" w:eastAsia="方正小标宋_GBK" w:cs="Times New Roman"/>
          <w:sz w:val="44"/>
          <w:szCs w:val="44"/>
          <w:highlight w:val="none"/>
          <w:lang w:eastAsia="zh-CN"/>
        </w:rPr>
        <w:t>等</w:t>
      </w:r>
      <w:r>
        <w:rPr>
          <w:rFonts w:hint="default" w:ascii="Times New Roman" w:hAnsi="Times New Roman" w:eastAsia="方正小标宋_GBK" w:cs="Times New Roman"/>
          <w:sz w:val="44"/>
          <w:szCs w:val="44"/>
          <w:highlight w:val="none"/>
        </w:rPr>
        <w:t>同志</w:t>
      </w:r>
      <w:r>
        <w:rPr>
          <w:rFonts w:hint="default" w:ascii="Times New Roman" w:hAnsi="Times New Roman" w:eastAsia="方正小标宋_GBK" w:cs="Times New Roman"/>
          <w:sz w:val="44"/>
          <w:szCs w:val="44"/>
          <w:highlight w:val="none"/>
          <w:lang w:eastAsia="zh-CN"/>
        </w:rPr>
        <w:t>正式任职</w:t>
      </w:r>
      <w:r>
        <w:rPr>
          <w:rFonts w:hint="default" w:ascii="Times New Roman" w:hAnsi="Times New Roman" w:eastAsia="方正小标宋简体" w:cs="Times New Roman"/>
          <w:sz w:val="44"/>
          <w:szCs w:val="44"/>
          <w:highlight w:val="none"/>
        </w:rPr>
        <w:t>的通知</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outlineLvl w:val="0"/>
        <w:rPr>
          <w:rFonts w:hint="eastAsia"/>
          <w:b/>
          <w:bCs/>
          <w:sz w:val="44"/>
          <w:szCs w:val="44"/>
        </w:r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各乡（镇）人民政府，青溪</w:t>
      </w:r>
      <w:r>
        <w:rPr>
          <w:rFonts w:hint="eastAsia" w:ascii="仿宋_GB2312" w:hAnsi="仿宋_GB2312" w:eastAsia="仿宋_GB2312" w:cs="仿宋_GB2312"/>
          <w:color w:val="auto"/>
          <w:sz w:val="32"/>
          <w:szCs w:val="32"/>
          <w:shd w:val="clear" w:color="auto" w:fill="FFFFFF"/>
          <w:lang w:eastAsia="zh-CN"/>
        </w:rPr>
        <w:t>办事处</w:t>
      </w:r>
      <w:r>
        <w:rPr>
          <w:rFonts w:hint="eastAsia" w:ascii="仿宋_GB2312" w:hAnsi="仿宋_GB2312" w:eastAsia="仿宋_GB2312" w:cs="仿宋_GB2312"/>
          <w:color w:val="auto"/>
          <w:sz w:val="32"/>
          <w:szCs w:val="32"/>
          <w:shd w:val="clear" w:color="auto" w:fill="FFFFFF"/>
        </w:rPr>
        <w:t>，县直各单位：</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
        </w:rPr>
        <w:t>根据</w:t>
      </w:r>
      <w:r>
        <w:rPr>
          <w:rFonts w:hint="eastAsia" w:ascii="仿宋_GB2312" w:hAnsi="仿宋_GB2312" w:eastAsia="仿宋_GB2312" w:cs="仿宋_GB2312"/>
          <w:sz w:val="32"/>
          <w:szCs w:val="32"/>
          <w:lang w:val="en" w:eastAsia="zh-CN"/>
        </w:rPr>
        <w:t>《党政领导干部任职试用期暂行规定》和</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中共铅山县委</w:t>
      </w:r>
      <w:r>
        <w:rPr>
          <w:rFonts w:hint="eastAsia" w:ascii="仿宋_GB2312" w:hAnsi="仿宋_GB2312" w:eastAsia="仿宋_GB2312" w:cs="仿宋_GB2312"/>
          <w:sz w:val="32"/>
          <w:szCs w:val="32"/>
          <w:lang w:eastAsia="zh-CN"/>
        </w:rPr>
        <w:t>关于提名张建波等同志正式任职的通知</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rPr>
        <w:t>铅字〔20</w:t>
      </w:r>
      <w:r>
        <w:rPr>
          <w:rFonts w:hint="eastAsia" w:ascii="仿宋_GB2312" w:hAnsi="仿宋_GB2312" w:eastAsia="仿宋_GB2312" w:cs="仿宋_GB2312"/>
          <w:sz w:val="32"/>
          <w:szCs w:val="32"/>
          <w:lang w:val="en"/>
        </w:rPr>
        <w:t>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rPr>
        <w:t>，经县人民政府研究决定：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张建波同志任铅山县公安局鹅湖派出所所长；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毛伯慕同志任铅山县公安局天柱山派出所所长；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彭蓓同志任铅山县普查中心主任；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童河华同志任铅山县水资源保护中心主任；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刘静宇同志任铅山县审计技术保障中心主任；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徐和梁同志任铅山县应急管理综合行政执法大队分管日常工作的副大队长；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刘巍同志任铅山县营商环境发展中心主任；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王敏君同志任铅山县城市管理综合行政执法大队分管日常工作的副大队长；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周雪兵同志任铅山县农业行政综合执法大队分管日常工作的副大队长。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以上同志任职时间自2021年12月起算。</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pStyle w:val="2"/>
        <w:keepNext w:val="0"/>
        <w:keepLines w:val="0"/>
        <w:pageBreakBefore w:val="0"/>
        <w:kinsoku/>
        <w:wordWrap/>
        <w:overflowPunct/>
        <w:topLinePunct w:val="0"/>
        <w:autoSpaceDE/>
        <w:autoSpaceDN/>
        <w:bidi w:val="0"/>
        <w:adjustRightInd/>
        <w:snapToGrid/>
        <w:spacing w:line="560" w:lineRule="exact"/>
        <w:textAlignment w:val="auto"/>
        <w:rPr>
          <w:rFonts w:hint="eastAsia"/>
        </w:rPr>
      </w:pPr>
    </w:p>
    <w:p>
      <w:pPr>
        <w:pStyle w:val="3"/>
        <w:rPr>
          <w:rFonts w:hint="eastAsia"/>
        </w:rPr>
      </w:pPr>
    </w:p>
    <w:p>
      <w:pPr>
        <w:keepNext w:val="0"/>
        <w:keepLines w:val="0"/>
        <w:pageBreakBefore w:val="0"/>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（此页无正文）             </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铅山县人民政府 </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日　</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sz w:val="32"/>
          <w:szCs w:val="32"/>
        </w:rPr>
      </w:pPr>
      <w:r>
        <w:rPr>
          <w:rFonts w:hint="eastAsia" w:ascii="仿宋_GB2312" w:hAnsi="仿宋_GB2312" w:eastAsia="仿宋_GB2312" w:cs="仿宋_GB2312"/>
          <w:sz w:val="32"/>
          <w:szCs w:val="32"/>
        </w:rPr>
        <w:t>（此件主动公开）</w:t>
      </w: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sz w:val="32"/>
          <w:szCs w:val="32"/>
        </w:rPr>
      </w:pP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仿宋" w:hAnsi="仿宋" w:eastAsia="仿宋"/>
          <w:sz w:val="32"/>
          <w:szCs w:val="32"/>
          <w:u w:val="thick"/>
          <w:lang w:val="en"/>
        </w:rPr>
      </w:pPr>
      <w:r>
        <w:rPr>
          <w:rFonts w:hint="default" w:ascii="仿宋" w:hAnsi="仿宋"/>
          <w:sz w:val="32"/>
          <w:szCs w:val="32"/>
          <w:u w:val="thick"/>
          <w:lang w:val="en"/>
        </w:rPr>
        <w:t xml:space="preserve">                                                             </w:t>
      </w:r>
    </w:p>
    <w:p>
      <w:pPr>
        <w:keepNext w:val="0"/>
        <w:keepLines w:val="0"/>
        <w:pageBreakBefore w:val="0"/>
        <w:kinsoku/>
        <w:wordWrap/>
        <w:overflowPunct/>
        <w:topLinePunct w:val="0"/>
        <w:autoSpaceDE/>
        <w:autoSpaceDN/>
        <w:bidi w:val="0"/>
        <w:adjustRightInd/>
        <w:snapToGrid/>
        <w:spacing w:line="560" w:lineRule="exact"/>
        <w:ind w:left="130" w:leftChars="0" w:hanging="130" w:hangingChars="50"/>
        <w:textAlignment w:val="auto"/>
        <w:rPr>
          <w:rFonts w:hint="eastAsia" w:ascii="仿宋_GB2312" w:hAnsi="仿宋_GB2312" w:eastAsia="仿宋_GB2312" w:cs="仿宋_GB2312"/>
          <w:snapToGrid w:val="0"/>
          <w:spacing w:val="0"/>
          <w:kern w:val="0"/>
          <w:sz w:val="28"/>
          <w:szCs w:val="28"/>
          <w:u w:val="none"/>
          <w:lang w:eastAsia="zh-CN"/>
        </w:rPr>
      </w:pPr>
      <w:r>
        <w:rPr>
          <w:rFonts w:hint="eastAsia" w:ascii="仿宋_GB2312" w:hAnsi="仿宋_GB2312" w:eastAsia="仿宋_GB2312" w:cs="仿宋_GB2312"/>
          <w:spacing w:val="-10"/>
          <w:sz w:val="28"/>
          <w:szCs w:val="28"/>
          <w:u w:val="none"/>
          <w:lang w:val="en-US" w:eastAsia="zh-CN"/>
        </w:rPr>
        <w:t xml:space="preserve">  </w:t>
      </w:r>
      <w:r>
        <w:rPr>
          <w:rFonts w:hint="eastAsia" w:ascii="仿宋_GB2312" w:hAnsi="仿宋_GB2312" w:eastAsia="仿宋_GB2312" w:cs="仿宋_GB2312"/>
          <w:spacing w:val="-10"/>
          <w:sz w:val="28"/>
          <w:szCs w:val="28"/>
          <w:u w:val="none"/>
          <w:lang w:eastAsia="zh-CN"/>
        </w:rPr>
        <w:t>抄送：</w:t>
      </w:r>
      <w:r>
        <w:rPr>
          <w:rFonts w:hint="eastAsia" w:ascii="仿宋_GB2312" w:hAnsi="仿宋_GB2312" w:eastAsia="仿宋_GB2312" w:cs="仿宋_GB2312"/>
          <w:snapToGrid w:val="0"/>
          <w:spacing w:val="0"/>
          <w:kern w:val="0"/>
          <w:sz w:val="28"/>
          <w:szCs w:val="28"/>
          <w:u w:val="none"/>
          <w:lang w:eastAsia="zh-CN"/>
        </w:rPr>
        <w:t>县委，县纪委县监委，县人大常委会，县政协，县人武部，县委</w:t>
      </w:r>
    </w:p>
    <w:p>
      <w:pPr>
        <w:keepNext w:val="0"/>
        <w:keepLines w:val="0"/>
        <w:pageBreakBefore w:val="0"/>
        <w:kinsoku/>
        <w:wordWrap/>
        <w:overflowPunct/>
        <w:topLinePunct w:val="0"/>
        <w:autoSpaceDE/>
        <w:autoSpaceDN/>
        <w:bidi w:val="0"/>
        <w:adjustRightInd/>
        <w:snapToGrid/>
        <w:spacing w:line="560" w:lineRule="exact"/>
        <w:ind w:left="140" w:leftChars="0" w:hanging="140" w:hangingChars="50"/>
        <w:textAlignment w:val="auto"/>
        <w:rPr>
          <w:rFonts w:hint="eastAsia" w:ascii="仿宋_GB2312" w:hAnsi="仿宋_GB2312" w:eastAsia="仿宋_GB2312" w:cs="仿宋_GB2312"/>
          <w:spacing w:val="-10"/>
          <w:sz w:val="28"/>
          <w:szCs w:val="28"/>
          <w:u w:val="single"/>
        </w:rPr>
      </w:pPr>
      <w:r>
        <w:rPr>
          <w:rFonts w:hint="eastAsia" w:ascii="仿宋_GB2312" w:hAnsi="仿宋_GB2312" w:eastAsia="仿宋_GB2312" w:cs="仿宋_GB2312"/>
          <w:snapToGrid w:val="0"/>
          <w:spacing w:val="0"/>
          <w:kern w:val="0"/>
          <w:sz w:val="28"/>
          <w:szCs w:val="28"/>
          <w:u w:val="single"/>
          <w:lang w:eastAsia="zh-CN"/>
        </w:rPr>
        <w:t>　　　</w:t>
      </w:r>
      <w:r>
        <w:rPr>
          <w:rFonts w:hint="eastAsia" w:ascii="仿宋_GB2312" w:hAnsi="仿宋_GB2312" w:eastAsia="仿宋_GB2312" w:cs="仿宋_GB2312"/>
          <w:snapToGrid w:val="0"/>
          <w:spacing w:val="0"/>
          <w:kern w:val="0"/>
          <w:sz w:val="28"/>
          <w:szCs w:val="28"/>
          <w:u w:val="single"/>
          <w:lang w:val="en-US" w:eastAsia="zh-CN"/>
        </w:rPr>
        <w:t xml:space="preserve"> </w:t>
      </w:r>
      <w:r>
        <w:rPr>
          <w:rFonts w:hint="eastAsia" w:ascii="仿宋_GB2312" w:hAnsi="仿宋_GB2312" w:eastAsia="仿宋_GB2312" w:cs="仿宋_GB2312"/>
          <w:snapToGrid w:val="0"/>
          <w:spacing w:val="0"/>
          <w:kern w:val="0"/>
          <w:sz w:val="28"/>
          <w:szCs w:val="28"/>
          <w:u w:val="single"/>
          <w:lang w:eastAsia="zh-CN"/>
        </w:rPr>
        <w:t>各部门，县法院、县检察院，各人民团体。</w:t>
      </w:r>
      <w:r>
        <w:rPr>
          <w:rFonts w:hint="eastAsia" w:ascii="仿宋_GB2312" w:hAnsi="仿宋_GB2312" w:eastAsia="仿宋_GB2312" w:cs="仿宋_GB2312"/>
          <w:spacing w:val="-10"/>
          <w:sz w:val="28"/>
          <w:szCs w:val="28"/>
          <w:u w:val="single"/>
        </w:rPr>
        <w:t xml:space="preserve">                                                       </w:t>
      </w:r>
      <w:r>
        <w:rPr>
          <w:rFonts w:hint="eastAsia" w:ascii="仿宋_GB2312" w:hAnsi="仿宋_GB2312" w:eastAsia="仿宋_GB2312" w:cs="仿宋_GB2312"/>
          <w:spacing w:val="-10"/>
          <w:sz w:val="28"/>
          <w:szCs w:val="28"/>
          <w:u w:val="single"/>
          <w:lang w:val="en-US" w:eastAsia="zh-CN"/>
        </w:rPr>
        <w:t xml:space="preserve">   </w:t>
      </w:r>
      <w:r>
        <w:rPr>
          <w:rFonts w:hint="eastAsia" w:ascii="仿宋_GB2312" w:hAnsi="仿宋_GB2312" w:eastAsia="仿宋_GB2312" w:cs="仿宋_GB2312"/>
          <w:spacing w:val="-10"/>
          <w:sz w:val="28"/>
          <w:szCs w:val="28"/>
          <w:u w:val="single"/>
        </w:rPr>
        <w:t xml:space="preserve">            </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宋体" w:hAnsi="宋体" w:cs="宋体"/>
          <w:b/>
          <w:bCs/>
          <w:sz w:val="44"/>
          <w:szCs w:val="44"/>
        </w:rPr>
      </w:pP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铅山县人民政府办公室秘书</w:t>
      </w:r>
      <w:r>
        <w:rPr>
          <w:rFonts w:hint="eastAsia" w:ascii="仿宋_GB2312" w:hAnsi="仿宋_GB2312" w:eastAsia="仿宋_GB2312" w:cs="仿宋_GB2312"/>
          <w:sz w:val="28"/>
          <w:szCs w:val="28"/>
          <w:u w:val="thick"/>
          <w:lang w:eastAsia="zh-CN"/>
        </w:rPr>
        <w:t>股</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20</w:t>
      </w:r>
      <w:r>
        <w:rPr>
          <w:rFonts w:hint="eastAsia" w:ascii="仿宋_GB2312" w:hAnsi="仿宋_GB2312" w:eastAsia="仿宋_GB2312" w:cs="仿宋_GB2312"/>
          <w:sz w:val="28"/>
          <w:szCs w:val="28"/>
          <w:u w:val="thick"/>
          <w:lang w:val="en-US" w:eastAsia="zh-CN"/>
        </w:rPr>
        <w:t>23</w:t>
      </w:r>
      <w:r>
        <w:rPr>
          <w:rFonts w:hint="eastAsia" w:ascii="仿宋_GB2312" w:hAnsi="仿宋_GB2312" w:eastAsia="仿宋_GB2312" w:cs="仿宋_GB2312"/>
          <w:sz w:val="28"/>
          <w:szCs w:val="28"/>
          <w:u w:val="thick"/>
        </w:rPr>
        <w:t>年</w:t>
      </w:r>
      <w:r>
        <w:rPr>
          <w:rFonts w:hint="eastAsia" w:ascii="仿宋_GB2312" w:hAnsi="仿宋_GB2312" w:eastAsia="仿宋_GB2312" w:cs="仿宋_GB2312"/>
          <w:sz w:val="28"/>
          <w:szCs w:val="28"/>
          <w:u w:val="thick"/>
          <w:lang w:val="en-US" w:eastAsia="zh-CN"/>
        </w:rPr>
        <w:t>4</w:t>
      </w:r>
      <w:r>
        <w:rPr>
          <w:rFonts w:hint="eastAsia" w:ascii="仿宋_GB2312" w:hAnsi="仿宋_GB2312" w:eastAsia="仿宋_GB2312" w:cs="仿宋_GB2312"/>
          <w:sz w:val="28"/>
          <w:szCs w:val="28"/>
          <w:u w:val="thick"/>
        </w:rPr>
        <w:t>月</w:t>
      </w:r>
      <w:r>
        <w:rPr>
          <w:rFonts w:hint="eastAsia" w:ascii="仿宋_GB2312" w:hAnsi="仿宋_GB2312" w:eastAsia="仿宋_GB2312" w:cs="仿宋_GB2312"/>
          <w:sz w:val="28"/>
          <w:szCs w:val="28"/>
          <w:u w:val="thick"/>
          <w:lang w:val="en-US" w:eastAsia="zh-CN"/>
        </w:rPr>
        <w:t>26</w:t>
      </w:r>
      <w:r>
        <w:rPr>
          <w:rFonts w:hint="eastAsia" w:ascii="仿宋_GB2312" w:hAnsi="仿宋_GB2312" w:eastAsia="仿宋_GB2312" w:cs="仿宋_GB2312"/>
          <w:sz w:val="28"/>
          <w:szCs w:val="28"/>
          <w:u w:val="thick"/>
        </w:rPr>
        <w:t xml:space="preserve">日印发  </w:t>
      </w:r>
      <w:r>
        <w:rPr>
          <w:rFonts w:hint="eastAsia" w:ascii="方正小标宋简体" w:hAnsi="方正小标宋简体" w:eastAsia="方正小标宋简体" w:cs="方正小标宋简体"/>
          <w:b w:val="0"/>
          <w:bCs w:val="0"/>
          <w:spacing w:val="0"/>
          <w:sz w:val="44"/>
          <w:szCs w:val="44"/>
          <w:highlight w:val="none"/>
        </w:rPr>
        <w:t>关于</w:t>
      </w:r>
      <w:r>
        <w:rPr>
          <w:rFonts w:hint="eastAsia" w:ascii="方正小标宋简体" w:hAnsi="方正小标宋简体" w:eastAsia="方正小标宋简体" w:cs="方正小标宋简体"/>
          <w:b w:val="0"/>
          <w:bCs w:val="0"/>
          <w:spacing w:val="0"/>
          <w:sz w:val="44"/>
          <w:szCs w:val="44"/>
          <w:highlight w:val="none"/>
          <w:lang w:eastAsia="zh-CN"/>
        </w:rPr>
        <w:t>陆柏宏</w:t>
      </w:r>
      <w:r>
        <w:rPr>
          <w:rFonts w:hint="eastAsia" w:ascii="方正小标宋简体" w:hAnsi="方正小标宋简体" w:eastAsia="方正小标宋简体" w:cs="方正小标宋简体"/>
          <w:b w:val="0"/>
          <w:bCs w:val="0"/>
          <w:spacing w:val="0"/>
          <w:sz w:val="44"/>
          <w:szCs w:val="44"/>
          <w:highlight w:val="none"/>
          <w:lang w:val="en-US" w:eastAsia="zh-CN"/>
        </w:rPr>
        <w:t>等</w:t>
      </w:r>
      <w:r>
        <w:rPr>
          <w:rFonts w:hint="eastAsia" w:ascii="方正小标宋简体" w:hAnsi="方正小标宋简体" w:eastAsia="方正小标宋简体" w:cs="方正小标宋简体"/>
          <w:b w:val="0"/>
          <w:bCs w:val="0"/>
          <w:spacing w:val="0"/>
          <w:sz w:val="44"/>
          <w:szCs w:val="44"/>
          <w:highlight w:val="none"/>
        </w:rPr>
        <w:t>同志</w:t>
      </w:r>
      <w:r>
        <w:rPr>
          <w:rFonts w:hint="eastAsia" w:ascii="方正小标宋简体" w:hAnsi="方正小标宋简体" w:eastAsia="方正小标宋简体" w:cs="方正小标宋简体"/>
          <w:b w:val="0"/>
          <w:bCs w:val="0"/>
          <w:spacing w:val="0"/>
          <w:sz w:val="44"/>
          <w:szCs w:val="44"/>
          <w:highlight w:val="none"/>
          <w:lang w:eastAsia="zh-CN"/>
        </w:rPr>
        <w:t>任职</w:t>
      </w:r>
      <w:r>
        <w:rPr>
          <w:rFonts w:hint="eastAsia" w:ascii="方正小标宋简体" w:hAnsi="方正小标宋简体" w:eastAsia="方正小标宋简体" w:cs="方正小标宋简体"/>
          <w:b w:val="0"/>
          <w:bCs w:val="0"/>
          <w:spacing w:val="0"/>
          <w:sz w:val="44"/>
          <w:szCs w:val="44"/>
          <w:highlight w:val="none"/>
        </w:rPr>
        <w:t>的通知</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outlineLvl w:val="0"/>
        <w:rPr>
          <w:rFonts w:hint="eastAsia"/>
          <w:b/>
          <w:bCs/>
          <w:sz w:val="44"/>
          <w:szCs w:val="44"/>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各乡（镇）人民政府，青溪办事处，县直各单位：</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根据《</w:t>
      </w:r>
      <w:r>
        <w:rPr>
          <w:rFonts w:hint="eastAsia" w:ascii="仿宋_GB2312" w:hAnsi="仿宋_GB2312" w:eastAsia="仿宋_GB2312" w:cs="仿宋_GB2312"/>
          <w:sz w:val="32"/>
          <w:szCs w:val="32"/>
        </w:rPr>
        <w:t>中共铅山县委</w:t>
      </w:r>
      <w:r>
        <w:rPr>
          <w:rFonts w:hint="eastAsia" w:ascii="仿宋_GB2312" w:hAnsi="仿宋_GB2312" w:eastAsia="仿宋_GB2312" w:cs="仿宋_GB2312"/>
          <w:sz w:val="32"/>
          <w:szCs w:val="32"/>
          <w:lang w:eastAsia="zh-CN"/>
        </w:rPr>
        <w:t>关于提名陆柏宏等同志任职的通知》（</w:t>
      </w:r>
      <w:r>
        <w:rPr>
          <w:rFonts w:hint="eastAsia" w:ascii="仿宋_GB2312" w:hAnsi="仿宋_GB2312" w:eastAsia="仿宋_GB2312" w:cs="仿宋_GB2312"/>
          <w:sz w:val="32"/>
          <w:szCs w:val="32"/>
        </w:rPr>
        <w:t>铅字〔20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，经县政府研究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决定</w:t>
      </w:r>
      <w:r>
        <w:rPr>
          <w:rFonts w:hint="eastAsia" w:ascii="仿宋_GB2312" w:hAnsi="仿宋_GB2312" w:eastAsia="仿宋_GB2312" w:cs="仿宋_GB2312"/>
          <w:sz w:val="32"/>
          <w:szCs w:val="32"/>
          <w:lang w:eastAsia="zh-CN"/>
        </w:rPr>
        <w:t>任命</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陆柏宏同志为葛仙山镇综合行政执法大队大队长（试用期一年）；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李立</w:t>
      </w:r>
      <w:r>
        <w:rPr>
          <w:rFonts w:hint="eastAsia" w:ascii="仿宋_GB2312" w:hAnsi="仿宋_GB2312" w:eastAsia="仿宋_GB2312" w:cs="仿宋_GB2312"/>
          <w:spacing w:val="-6"/>
          <w:sz w:val="32"/>
          <w:szCs w:val="32"/>
          <w:highlight w:val="none"/>
          <w:lang w:val="en-US" w:eastAsia="zh-CN"/>
        </w:rPr>
        <w:t>同志为鹅湖镇</w:t>
      </w:r>
      <w:r>
        <w:rPr>
          <w:rFonts w:hint="eastAsia" w:ascii="仿宋_GB2312" w:hAnsi="仿宋_GB2312" w:eastAsia="仿宋_GB2312" w:cs="仿宋_GB2312"/>
          <w:spacing w:val="0"/>
          <w:sz w:val="32"/>
          <w:szCs w:val="32"/>
          <w:highlight w:val="none"/>
          <w:lang w:val="en-US" w:eastAsia="zh-CN"/>
        </w:rPr>
        <w:t>综合便民服务中心主任（试用期一年）；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周毓琪同志为陈坊乡综合行政执法大队大队长（试用期一年）；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许骏同志为太源畲族乡综合行政执法大队大队长（试用期一年）；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舒诗慧同志为天柱山乡综合行政执法大队大队长（试用期一年）；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徐鑫同志为英将乡综合便民服务中心主任（试用期一年）；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柯子杨同志为英将乡综合行政执法大队大队长（试用期一年）；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仿宋_GB2312" w:eastAsia="仿宋_GB2312" w:cs="仿宋_GB2312"/>
          <w:spacing w:val="0"/>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鲍准同志为武夷山镇综合便民服务中心主任（试用期一年）。</w:t>
      </w:r>
    </w:p>
    <w:p>
      <w:pPr>
        <w:keepNext w:val="0"/>
        <w:keepLines w:val="0"/>
        <w:pageBreakBefore w:val="0"/>
        <w:kinsoku/>
        <w:wordWrap/>
        <w:overflowPunct/>
        <w:topLinePunct w:val="0"/>
        <w:autoSpaceDE/>
        <w:autoSpaceDN/>
        <w:bidi w:val="0"/>
        <w:adjustRightInd/>
        <w:snapToGrid/>
        <w:spacing w:line="560" w:lineRule="exact"/>
        <w:ind w:left="0" w:leftChars="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0"/>
          <w:sz w:val="32"/>
          <w:szCs w:val="32"/>
          <w:highlight w:val="none"/>
          <w:lang w:val="en-US" w:eastAsia="zh-CN"/>
        </w:rPr>
        <w:t>特此通知。</w:t>
      </w: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left="0" w:leftChars="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铅山县人民政府 </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　</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rPr>
      </w:pPr>
      <w:r>
        <w:rPr>
          <w:rFonts w:hint="eastAsia" w:ascii="仿宋_GB2312" w:hAnsi="仿宋_GB2312" w:eastAsia="仿宋_GB2312" w:cs="仿宋_GB2312"/>
          <w:sz w:val="32"/>
          <w:szCs w:val="32"/>
        </w:rPr>
        <w:t>（此件主动公开）</w:t>
      </w:r>
    </w:p>
    <w:p>
      <w:pPr>
        <w:pStyle w:val="3"/>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u w:val="thick"/>
          <w:lang w:val="en"/>
        </w:rPr>
      </w:pPr>
      <w:r>
        <w:rPr>
          <w:rFonts w:hint="eastAsia" w:ascii="仿宋_GB2312" w:hAnsi="仿宋_GB2312" w:eastAsia="仿宋_GB2312" w:cs="仿宋_GB2312"/>
          <w:sz w:val="28"/>
          <w:szCs w:val="28"/>
          <w:u w:val="thick"/>
          <w:lang w:val="en"/>
        </w:rPr>
        <w:t xml:space="preserve">                                                               </w:t>
      </w:r>
    </w:p>
    <w:p>
      <w:pPr>
        <w:keepNext w:val="0"/>
        <w:keepLines w:val="0"/>
        <w:pageBreakBefore w:val="0"/>
        <w:kinsoku/>
        <w:wordWrap/>
        <w:overflowPunct/>
        <w:topLinePunct w:val="0"/>
        <w:autoSpaceDE/>
        <w:autoSpaceDN/>
        <w:bidi w:val="0"/>
        <w:adjustRightInd/>
        <w:snapToGrid/>
        <w:spacing w:line="560" w:lineRule="exact"/>
        <w:ind w:left="130" w:leftChars="0" w:hanging="130" w:hangingChars="50"/>
        <w:textAlignment w:val="auto"/>
        <w:rPr>
          <w:rFonts w:hint="eastAsia" w:ascii="仿宋_GB2312" w:hAnsi="仿宋_GB2312" w:eastAsia="仿宋_GB2312" w:cs="仿宋_GB2312"/>
          <w:snapToGrid w:val="0"/>
          <w:spacing w:val="0"/>
          <w:kern w:val="0"/>
          <w:sz w:val="28"/>
          <w:szCs w:val="28"/>
          <w:u w:val="none"/>
          <w:lang w:eastAsia="zh-CN"/>
        </w:rPr>
      </w:pPr>
      <w:r>
        <w:rPr>
          <w:rFonts w:hint="eastAsia" w:ascii="仿宋_GB2312" w:hAnsi="仿宋_GB2312" w:eastAsia="仿宋_GB2312" w:cs="仿宋_GB2312"/>
          <w:spacing w:val="-10"/>
          <w:sz w:val="28"/>
          <w:szCs w:val="28"/>
          <w:u w:val="none"/>
          <w:lang w:val="en-US" w:eastAsia="zh-CN"/>
        </w:rPr>
        <w:t xml:space="preserve">  </w:t>
      </w:r>
      <w:r>
        <w:rPr>
          <w:rFonts w:hint="eastAsia" w:ascii="仿宋_GB2312" w:hAnsi="仿宋_GB2312" w:eastAsia="仿宋_GB2312" w:cs="仿宋_GB2312"/>
          <w:spacing w:val="-10"/>
          <w:sz w:val="28"/>
          <w:szCs w:val="28"/>
          <w:u w:val="none"/>
          <w:lang w:eastAsia="zh-CN"/>
        </w:rPr>
        <w:t>抄送：</w:t>
      </w:r>
      <w:r>
        <w:rPr>
          <w:rFonts w:hint="eastAsia" w:ascii="仿宋_GB2312" w:hAnsi="仿宋_GB2312" w:eastAsia="仿宋_GB2312" w:cs="仿宋_GB2312"/>
          <w:snapToGrid w:val="0"/>
          <w:spacing w:val="0"/>
          <w:kern w:val="0"/>
          <w:sz w:val="28"/>
          <w:szCs w:val="28"/>
          <w:u w:val="none"/>
          <w:lang w:eastAsia="zh-CN"/>
        </w:rPr>
        <w:t>县委，县纪委县监委，县人大常委会，县政协，县人武部，县委</w:t>
      </w:r>
    </w:p>
    <w:p>
      <w:pPr>
        <w:keepNext w:val="0"/>
        <w:keepLines w:val="0"/>
        <w:pageBreakBefore w:val="0"/>
        <w:kinsoku/>
        <w:wordWrap/>
        <w:overflowPunct/>
        <w:topLinePunct w:val="0"/>
        <w:autoSpaceDE/>
        <w:autoSpaceDN/>
        <w:bidi w:val="0"/>
        <w:adjustRightInd/>
        <w:snapToGrid/>
        <w:spacing w:line="560" w:lineRule="exact"/>
        <w:ind w:left="140" w:leftChars="0" w:hanging="140" w:hangingChars="50"/>
        <w:textAlignment w:val="auto"/>
        <w:rPr>
          <w:rFonts w:hint="eastAsia" w:ascii="仿宋_GB2312" w:hAnsi="仿宋_GB2312" w:eastAsia="仿宋_GB2312" w:cs="仿宋_GB2312"/>
          <w:spacing w:val="-10"/>
          <w:sz w:val="28"/>
          <w:szCs w:val="28"/>
          <w:u w:val="single"/>
        </w:rPr>
      </w:pPr>
      <w:r>
        <w:rPr>
          <w:rFonts w:hint="eastAsia" w:ascii="仿宋_GB2312" w:hAnsi="仿宋_GB2312" w:eastAsia="仿宋_GB2312" w:cs="仿宋_GB2312"/>
          <w:snapToGrid w:val="0"/>
          <w:spacing w:val="0"/>
          <w:kern w:val="0"/>
          <w:sz w:val="28"/>
          <w:szCs w:val="28"/>
          <w:u w:val="single"/>
          <w:lang w:eastAsia="zh-CN"/>
        </w:rPr>
        <w:t>　　　</w:t>
      </w:r>
      <w:r>
        <w:rPr>
          <w:rFonts w:hint="eastAsia" w:ascii="仿宋_GB2312" w:hAnsi="仿宋_GB2312" w:eastAsia="仿宋_GB2312" w:cs="仿宋_GB2312"/>
          <w:snapToGrid w:val="0"/>
          <w:spacing w:val="0"/>
          <w:kern w:val="0"/>
          <w:sz w:val="28"/>
          <w:szCs w:val="28"/>
          <w:u w:val="single"/>
          <w:lang w:val="en-US" w:eastAsia="zh-CN"/>
        </w:rPr>
        <w:t xml:space="preserve"> </w:t>
      </w:r>
      <w:r>
        <w:rPr>
          <w:rFonts w:hint="eastAsia" w:ascii="仿宋_GB2312" w:hAnsi="仿宋_GB2312" w:eastAsia="仿宋_GB2312" w:cs="仿宋_GB2312"/>
          <w:snapToGrid w:val="0"/>
          <w:spacing w:val="0"/>
          <w:kern w:val="0"/>
          <w:sz w:val="28"/>
          <w:szCs w:val="28"/>
          <w:u w:val="single"/>
          <w:lang w:eastAsia="zh-CN"/>
        </w:rPr>
        <w:t>各部门，县法院、县检察院，各人民团体。</w:t>
      </w:r>
      <w:r>
        <w:rPr>
          <w:rFonts w:hint="eastAsia" w:ascii="仿宋_GB2312" w:hAnsi="仿宋_GB2312" w:eastAsia="仿宋_GB2312" w:cs="仿宋_GB2312"/>
          <w:spacing w:val="-10"/>
          <w:sz w:val="28"/>
          <w:szCs w:val="28"/>
          <w:u w:val="single"/>
        </w:rPr>
        <w:t xml:space="preserve">                                                       </w:t>
      </w:r>
      <w:r>
        <w:rPr>
          <w:rFonts w:hint="eastAsia" w:ascii="仿宋_GB2312" w:hAnsi="仿宋_GB2312" w:eastAsia="仿宋_GB2312" w:cs="仿宋_GB2312"/>
          <w:spacing w:val="-10"/>
          <w:sz w:val="28"/>
          <w:szCs w:val="28"/>
          <w:u w:val="single"/>
          <w:lang w:val="en-US" w:eastAsia="zh-CN"/>
        </w:rPr>
        <w:t xml:space="preserve">   </w:t>
      </w:r>
      <w:r>
        <w:rPr>
          <w:rFonts w:hint="eastAsia" w:ascii="仿宋_GB2312" w:hAnsi="仿宋_GB2312" w:eastAsia="仿宋_GB2312" w:cs="仿宋_GB2312"/>
          <w:spacing w:val="-10"/>
          <w:sz w:val="28"/>
          <w:szCs w:val="28"/>
          <w:u w:val="single"/>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eastAsia" w:ascii="宋体" w:hAnsi="宋体" w:cs="宋体"/>
          <w:b/>
          <w:bCs/>
          <w:sz w:val="44"/>
          <w:szCs w:val="44"/>
        </w:rPr>
      </w:pP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铅山县人民政府办公室秘书</w:t>
      </w:r>
      <w:r>
        <w:rPr>
          <w:rFonts w:hint="eastAsia" w:ascii="仿宋_GB2312" w:hAnsi="仿宋_GB2312" w:eastAsia="仿宋_GB2312" w:cs="仿宋_GB2312"/>
          <w:sz w:val="28"/>
          <w:szCs w:val="28"/>
          <w:u w:val="thick"/>
          <w:lang w:eastAsia="zh-CN"/>
        </w:rPr>
        <w:t>股</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20</w:t>
      </w:r>
      <w:r>
        <w:rPr>
          <w:rFonts w:hint="eastAsia" w:ascii="仿宋_GB2312" w:hAnsi="仿宋_GB2312" w:eastAsia="仿宋_GB2312" w:cs="仿宋_GB2312"/>
          <w:sz w:val="28"/>
          <w:szCs w:val="28"/>
          <w:u w:val="thick"/>
          <w:lang w:val="en-US" w:eastAsia="zh-CN"/>
        </w:rPr>
        <w:t>23</w:t>
      </w:r>
      <w:r>
        <w:rPr>
          <w:rFonts w:hint="eastAsia" w:ascii="仿宋_GB2312" w:hAnsi="仿宋_GB2312" w:eastAsia="仿宋_GB2312" w:cs="仿宋_GB2312"/>
          <w:sz w:val="28"/>
          <w:szCs w:val="28"/>
          <w:u w:val="thick"/>
        </w:rPr>
        <w:t>年</w:t>
      </w:r>
      <w:r>
        <w:rPr>
          <w:rFonts w:hint="eastAsia" w:ascii="仿宋_GB2312" w:hAnsi="仿宋_GB2312" w:eastAsia="仿宋_GB2312" w:cs="仿宋_GB2312"/>
          <w:sz w:val="28"/>
          <w:szCs w:val="28"/>
          <w:u w:val="thick"/>
          <w:lang w:val="en-US" w:eastAsia="zh-CN"/>
        </w:rPr>
        <w:t>6</w:t>
      </w:r>
      <w:r>
        <w:rPr>
          <w:rFonts w:hint="eastAsia" w:ascii="仿宋_GB2312" w:hAnsi="仿宋_GB2312" w:eastAsia="仿宋_GB2312" w:cs="仿宋_GB2312"/>
          <w:sz w:val="28"/>
          <w:szCs w:val="28"/>
          <w:u w:val="thick"/>
        </w:rPr>
        <w:t>月</w:t>
      </w:r>
      <w:r>
        <w:rPr>
          <w:rFonts w:hint="eastAsia" w:ascii="仿宋_GB2312" w:hAnsi="仿宋_GB2312" w:eastAsia="仿宋_GB2312" w:cs="仿宋_GB2312"/>
          <w:sz w:val="28"/>
          <w:szCs w:val="28"/>
          <w:u w:val="thick"/>
          <w:lang w:val="en-US" w:eastAsia="zh-CN"/>
        </w:rPr>
        <w:t>30</w:t>
      </w:r>
      <w:r>
        <w:rPr>
          <w:rFonts w:hint="eastAsia" w:ascii="仿宋_GB2312" w:hAnsi="仿宋_GB2312" w:eastAsia="仿宋_GB2312" w:cs="仿宋_GB2312"/>
          <w:sz w:val="28"/>
          <w:szCs w:val="28"/>
          <w:u w:val="thick"/>
        </w:rPr>
        <w:t xml:space="preserve">日印发  </w:t>
      </w:r>
      <w:r>
        <w:rPr>
          <w:rFonts w:hint="eastAsia" w:ascii="方正小标宋简体" w:hAnsi="方正小标宋简体" w:eastAsia="方正小标宋简体" w:cs="方正小标宋简体"/>
          <w:b w:val="0"/>
          <w:bCs w:val="0"/>
          <w:spacing w:val="0"/>
          <w:sz w:val="44"/>
          <w:szCs w:val="44"/>
          <w:highlight w:val="none"/>
        </w:rPr>
        <w:t>关于</w:t>
      </w:r>
      <w:r>
        <w:rPr>
          <w:rFonts w:hint="eastAsia" w:eastAsia="方正小标宋_GBK" w:cs="Times New Roman"/>
          <w:sz w:val="44"/>
          <w:szCs w:val="44"/>
          <w:highlight w:val="none"/>
          <w:lang w:val="en-US" w:eastAsia="zh-CN"/>
        </w:rPr>
        <w:t>向建英</w:t>
      </w:r>
      <w:r>
        <w:rPr>
          <w:rFonts w:hint="default" w:ascii="Times New Roman" w:hAnsi="Times New Roman" w:eastAsia="方正小标宋_GBK" w:cs="Times New Roman"/>
          <w:sz w:val="44"/>
          <w:szCs w:val="44"/>
          <w:highlight w:val="none"/>
          <w:lang w:eastAsia="zh-CN"/>
        </w:rPr>
        <w:t>等</w:t>
      </w:r>
      <w:r>
        <w:rPr>
          <w:rFonts w:hint="default" w:ascii="Times New Roman" w:hAnsi="Times New Roman" w:eastAsia="方正小标宋_GBK" w:cs="Times New Roman"/>
          <w:sz w:val="44"/>
          <w:szCs w:val="44"/>
          <w:highlight w:val="none"/>
        </w:rPr>
        <w:t>同志</w:t>
      </w:r>
      <w:r>
        <w:rPr>
          <w:rFonts w:hint="default" w:ascii="Times New Roman" w:hAnsi="Times New Roman" w:eastAsia="方正小标宋_GBK" w:cs="Times New Roman"/>
          <w:sz w:val="44"/>
          <w:szCs w:val="44"/>
          <w:highlight w:val="none"/>
          <w:lang w:eastAsia="zh-CN"/>
        </w:rPr>
        <w:t>正式任职</w:t>
      </w:r>
      <w:r>
        <w:rPr>
          <w:rFonts w:hint="eastAsia" w:ascii="方正小标宋简体" w:hAnsi="方正小标宋简体" w:eastAsia="方正小标宋简体" w:cs="方正小标宋简体"/>
          <w:b w:val="0"/>
          <w:bCs w:val="0"/>
          <w:spacing w:val="0"/>
          <w:sz w:val="44"/>
          <w:szCs w:val="44"/>
          <w:highlight w:val="none"/>
        </w:rPr>
        <w:t>的通知</w:t>
      </w:r>
    </w:p>
    <w:p>
      <w:pPr>
        <w:keepNext w:val="0"/>
        <w:keepLines w:val="0"/>
        <w:pageBreakBefore w:val="0"/>
        <w:kinsoku/>
        <w:wordWrap/>
        <w:overflowPunct/>
        <w:topLinePunct w:val="0"/>
        <w:autoSpaceDE/>
        <w:autoSpaceDN/>
        <w:bidi w:val="0"/>
        <w:adjustRightInd w:val="0"/>
        <w:snapToGrid w:val="0"/>
        <w:spacing w:line="560" w:lineRule="exact"/>
        <w:ind w:left="0" w:leftChars="0"/>
        <w:jc w:val="center"/>
        <w:textAlignment w:val="auto"/>
        <w:outlineLvl w:val="0"/>
        <w:rPr>
          <w:rFonts w:hint="eastAsia"/>
          <w:b/>
          <w:bCs/>
          <w:sz w:val="44"/>
          <w:szCs w:val="44"/>
        </w:rPr>
      </w:pP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600" w:lineRule="exact"/>
        <w:ind w:left="0" w:leftChars="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各乡（镇）人民政府，青溪办事处，县直各单位：</w:t>
      </w:r>
    </w:p>
    <w:p>
      <w:pPr>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w:t>
      </w:r>
      <w:r>
        <w:rPr>
          <w:rFonts w:hint="eastAsia" w:ascii="仿宋_GB2312" w:hAnsi="仿宋_GB2312" w:eastAsia="仿宋_GB2312" w:cs="仿宋_GB2312"/>
          <w:kern w:val="2"/>
          <w:sz w:val="32"/>
          <w:szCs w:val="32"/>
          <w:lang w:val="en" w:eastAsia="zh-CN" w:bidi="ar-SA"/>
        </w:rPr>
        <w:t>《党政领导干部任职试用期暂行规定》和</w:t>
      </w:r>
      <w:r>
        <w:rPr>
          <w:rFonts w:hint="eastAsia" w:ascii="仿宋_GB2312" w:hAnsi="仿宋_GB2312" w:eastAsia="仿宋_GB2312" w:cs="仿宋_GB2312"/>
          <w:kern w:val="2"/>
          <w:sz w:val="32"/>
          <w:szCs w:val="32"/>
          <w:lang w:val="en-US" w:eastAsia="zh-CN" w:bidi="ar-SA"/>
        </w:rPr>
        <w:t>《中共铅山县委关于提名向建英等同志正式任职的通知》（铅字〔2023〕37号），经县政府研究决定：</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5"/>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向建英</w:t>
      </w:r>
      <w:r>
        <w:rPr>
          <w:rFonts w:hint="eastAsia" w:ascii="仿宋_GB2312" w:hAnsi="仿宋_GB2312" w:eastAsia="仿宋_GB2312" w:cs="仿宋_GB2312"/>
          <w:sz w:val="32"/>
          <w:szCs w:val="32"/>
          <w:lang w:eastAsia="zh-CN"/>
        </w:rPr>
        <w:t>同志任铅山</w:t>
      </w:r>
      <w:r>
        <w:rPr>
          <w:rFonts w:hint="eastAsia" w:ascii="仿宋_GB2312" w:hAnsi="仿宋_GB2312" w:eastAsia="仿宋_GB2312" w:cs="仿宋_GB2312"/>
          <w:sz w:val="32"/>
          <w:szCs w:val="32"/>
        </w:rPr>
        <w:t>县发展集团</w:t>
      </w:r>
      <w:r>
        <w:rPr>
          <w:rFonts w:hint="eastAsia" w:ascii="仿宋_GB2312" w:hAnsi="仿宋_GB2312" w:eastAsia="仿宋_GB2312" w:cs="仿宋_GB2312"/>
          <w:sz w:val="32"/>
          <w:szCs w:val="32"/>
          <w:lang w:eastAsia="zh-CN"/>
        </w:rPr>
        <w:t>有限</w:t>
      </w:r>
      <w:r>
        <w:rPr>
          <w:rFonts w:hint="eastAsia" w:ascii="仿宋_GB2312" w:hAnsi="仿宋_GB2312" w:eastAsia="仿宋_GB2312" w:cs="仿宋_GB2312"/>
          <w:sz w:val="32"/>
          <w:szCs w:val="32"/>
        </w:rPr>
        <w:t>公司总经理（按正科级干部管理）</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5"/>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诸葛川</w:t>
      </w:r>
      <w:r>
        <w:rPr>
          <w:rFonts w:hint="eastAsia" w:ascii="仿宋_GB2312" w:hAnsi="仿宋_GB2312" w:eastAsia="仿宋_GB2312" w:cs="仿宋_GB2312"/>
          <w:sz w:val="32"/>
          <w:szCs w:val="32"/>
          <w:lang w:eastAsia="zh-CN"/>
        </w:rPr>
        <w:t>同志任铅山</w:t>
      </w:r>
      <w:r>
        <w:rPr>
          <w:rFonts w:hint="eastAsia" w:ascii="仿宋_GB2312" w:hAnsi="仿宋_GB2312" w:eastAsia="仿宋_GB2312" w:cs="仿宋_GB2312"/>
          <w:sz w:val="32"/>
          <w:szCs w:val="32"/>
        </w:rPr>
        <w:t>县发展集团</w:t>
      </w:r>
      <w:r>
        <w:rPr>
          <w:rFonts w:hint="eastAsia" w:ascii="仿宋_GB2312" w:hAnsi="仿宋_GB2312" w:eastAsia="仿宋_GB2312" w:cs="仿宋_GB2312"/>
          <w:sz w:val="32"/>
          <w:szCs w:val="32"/>
          <w:lang w:eastAsia="zh-CN"/>
        </w:rPr>
        <w:t>有限</w:t>
      </w:r>
      <w:r>
        <w:rPr>
          <w:rFonts w:hint="eastAsia" w:ascii="仿宋_GB2312" w:hAnsi="仿宋_GB2312" w:eastAsia="仿宋_GB2312" w:cs="仿宋_GB2312"/>
          <w:sz w:val="32"/>
          <w:szCs w:val="32"/>
        </w:rPr>
        <w:t>公司副总经理（按副科级干部管理</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5"/>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林晓燕</w:t>
      </w:r>
      <w:r>
        <w:rPr>
          <w:rFonts w:hint="eastAsia" w:ascii="仿宋_GB2312" w:hAnsi="仿宋_GB2312" w:eastAsia="仿宋_GB2312" w:cs="仿宋_GB2312"/>
          <w:sz w:val="32"/>
          <w:szCs w:val="32"/>
          <w:lang w:eastAsia="zh-CN"/>
        </w:rPr>
        <w:t>同志任铅山</w:t>
      </w:r>
      <w:r>
        <w:rPr>
          <w:rFonts w:hint="eastAsia" w:ascii="仿宋_GB2312" w:hAnsi="仿宋_GB2312" w:eastAsia="仿宋_GB2312" w:cs="仿宋_GB2312"/>
          <w:sz w:val="32"/>
          <w:szCs w:val="32"/>
        </w:rPr>
        <w:t>县妇幼保健院院长</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5"/>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揭仕乐</w:t>
      </w:r>
      <w:r>
        <w:rPr>
          <w:rFonts w:hint="eastAsia" w:ascii="仿宋_GB2312" w:hAnsi="仿宋_GB2312" w:eastAsia="仿宋_GB2312" w:cs="仿宋_GB2312"/>
          <w:sz w:val="32"/>
          <w:szCs w:val="32"/>
          <w:lang w:eastAsia="zh-CN"/>
        </w:rPr>
        <w:t>同志</w:t>
      </w:r>
      <w:r>
        <w:rPr>
          <w:rFonts w:hint="eastAsia" w:ascii="仿宋_GB2312" w:hAnsi="仿宋_GB2312" w:eastAsia="仿宋_GB2312" w:cs="仿宋_GB2312"/>
          <w:sz w:val="32"/>
          <w:szCs w:val="32"/>
          <w:lang w:val="en-US" w:eastAsia="zh-CN"/>
        </w:rPr>
        <w:t>按</w:t>
      </w:r>
      <w:r>
        <w:rPr>
          <w:rFonts w:hint="eastAsia" w:ascii="仿宋_GB2312" w:hAnsi="仿宋_GB2312" w:eastAsia="仿宋_GB2312" w:cs="仿宋_GB2312"/>
          <w:sz w:val="32"/>
          <w:szCs w:val="32"/>
          <w:lang w:eastAsia="zh-CN"/>
        </w:rPr>
        <w:t>铅山</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val="en-US" w:eastAsia="zh-CN"/>
        </w:rPr>
        <w:t>原</w:t>
      </w:r>
      <w:r>
        <w:rPr>
          <w:rFonts w:hint="eastAsia" w:ascii="仿宋_GB2312" w:hAnsi="仿宋_GB2312" w:eastAsia="仿宋_GB2312" w:cs="仿宋_GB2312"/>
          <w:sz w:val="32"/>
          <w:szCs w:val="32"/>
        </w:rPr>
        <w:t>大数据发展服务中心</w:t>
      </w:r>
      <w:r>
        <w:rPr>
          <w:rFonts w:hint="eastAsia" w:ascii="仿宋_GB2312" w:hAnsi="仿宋_GB2312" w:eastAsia="仿宋_GB2312" w:cs="仿宋_GB2312"/>
          <w:sz w:val="32"/>
          <w:szCs w:val="32"/>
          <w:lang w:eastAsia="zh-CN"/>
        </w:rPr>
        <w:t>副主任</w:t>
      </w:r>
      <w:r>
        <w:rPr>
          <w:rFonts w:hint="eastAsia" w:ascii="仿宋_GB2312" w:hAnsi="仿宋_GB2312" w:eastAsia="仿宋_GB2312" w:cs="仿宋_GB2312"/>
          <w:sz w:val="32"/>
          <w:szCs w:val="32"/>
          <w:lang w:val="en-US" w:eastAsia="zh-CN"/>
        </w:rPr>
        <w:t>管理</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5"/>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rPr>
        <w:t>余波</w:t>
      </w:r>
      <w:r>
        <w:rPr>
          <w:rFonts w:hint="eastAsia" w:ascii="仿宋_GB2312" w:hAnsi="仿宋_GB2312" w:eastAsia="仿宋_GB2312" w:cs="仿宋_GB2312"/>
          <w:sz w:val="32"/>
          <w:szCs w:val="32"/>
          <w:lang w:eastAsia="zh-CN"/>
        </w:rPr>
        <w:t>同志任铅山</w:t>
      </w:r>
      <w:r>
        <w:rPr>
          <w:rFonts w:hint="eastAsia" w:ascii="仿宋_GB2312" w:hAnsi="仿宋_GB2312" w:eastAsia="仿宋_GB2312" w:cs="仿宋_GB2312"/>
          <w:sz w:val="32"/>
          <w:szCs w:val="32"/>
        </w:rPr>
        <w:t>县粮油购销公司经理（按副科级干部管理）</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5"/>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张松同志任铅山县第三中学副校长。</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5"/>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以上同志中，张松同志的任职时间自2022年4月起算，其余同志的任职时间自2022年5月起算。</w:t>
      </w:r>
    </w:p>
    <w:p>
      <w:pPr>
        <w:keepNext w:val="0"/>
        <w:keepLines w:val="0"/>
        <w:pageBreakBefore w:val="0"/>
        <w:kinsoku/>
        <w:wordWrap/>
        <w:overflowPunct/>
        <w:topLinePunct w:val="0"/>
        <w:autoSpaceDE/>
        <w:autoSpaceDN/>
        <w:bidi w:val="0"/>
        <w:adjustRightInd w:val="0"/>
        <w:snapToGrid w:val="0"/>
        <w:spacing w:line="60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0"/>
          <w:sz w:val="32"/>
          <w:szCs w:val="32"/>
          <w:highlight w:val="none"/>
          <w:lang w:val="en-US" w:eastAsia="zh-CN"/>
        </w:rPr>
        <w:t xml:space="preserve">    特此通知。</w:t>
      </w: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autoSpaceDE/>
        <w:autoSpaceDN/>
        <w:bidi w:val="0"/>
        <w:adjustRightInd w:val="0"/>
        <w:snapToGrid w:val="0"/>
        <w:spacing w:line="56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autoSpaceDE/>
        <w:autoSpaceDN/>
        <w:bidi w:val="0"/>
        <w:adjustRightInd w:val="0"/>
        <w:snapToGrid w:val="0"/>
        <w:spacing w:line="56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default"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rPr>
        <w:t xml:space="preserve">铅山县人民政府 </w:t>
      </w:r>
    </w:p>
    <w:p>
      <w:pPr>
        <w:keepNext w:val="0"/>
        <w:keepLines w:val="0"/>
        <w:pageBreakBefore w:val="0"/>
        <w:kinsoku/>
        <w:wordWrap/>
        <w:overflowPunct/>
        <w:topLinePunct w:val="0"/>
        <w:autoSpaceDE/>
        <w:autoSpaceDN/>
        <w:bidi w:val="0"/>
        <w:adjustRightInd w:val="0"/>
        <w:snapToGrid w:val="0"/>
        <w:spacing w:line="56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default"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日　</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（此件主动公开）</w:t>
      </w:r>
    </w:p>
    <w:p>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（此页无正文）</w:t>
      </w: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keepNext w:val="0"/>
        <w:keepLines w:val="0"/>
        <w:pageBreakBefore w:val="0"/>
        <w:kinsoku/>
        <w:wordWrap/>
        <w:overflowPunct/>
        <w:topLinePunct w:val="0"/>
        <w:autoSpaceDE/>
        <w:autoSpaceDN/>
        <w:bidi w:val="0"/>
        <w:spacing w:line="560" w:lineRule="exact"/>
        <w:ind w:left="0" w:leftChars="0" w:firstLine="0" w:firstLineChars="0"/>
        <w:textAlignment w:val="auto"/>
        <w:rPr>
          <w:rFonts w:hint="default" w:ascii="仿宋" w:hAnsi="仿宋" w:eastAsia="仿宋"/>
          <w:sz w:val="32"/>
          <w:szCs w:val="32"/>
          <w:u w:val="thick"/>
          <w:lang w:val="en"/>
        </w:rPr>
      </w:pPr>
      <w:r>
        <w:rPr>
          <w:rFonts w:hint="default" w:ascii="仿宋" w:hAnsi="仿宋"/>
          <w:sz w:val="32"/>
          <w:szCs w:val="32"/>
          <w:u w:val="thick"/>
          <w:lang w:val="en"/>
        </w:rPr>
        <w:t xml:space="preserve">                                                                  </w:t>
      </w:r>
    </w:p>
    <w:p>
      <w:pPr>
        <w:keepNext w:val="0"/>
        <w:keepLines w:val="0"/>
        <w:pageBreakBefore w:val="0"/>
        <w:kinsoku/>
        <w:wordWrap/>
        <w:overflowPunct/>
        <w:topLinePunct w:val="0"/>
        <w:autoSpaceDE/>
        <w:autoSpaceDN/>
        <w:bidi w:val="0"/>
        <w:spacing w:line="560" w:lineRule="exact"/>
        <w:ind w:left="130" w:leftChars="0" w:hanging="130" w:hangingChars="50"/>
        <w:textAlignment w:val="auto"/>
        <w:rPr>
          <w:rFonts w:hint="eastAsia" w:ascii="仿宋_GB2312" w:hAnsi="仿宋_GB2312" w:eastAsia="仿宋_GB2312" w:cs="仿宋_GB2312"/>
          <w:snapToGrid w:val="0"/>
          <w:spacing w:val="0"/>
          <w:kern w:val="0"/>
          <w:sz w:val="28"/>
          <w:szCs w:val="28"/>
          <w:u w:val="none"/>
          <w:lang w:eastAsia="zh-CN"/>
        </w:rPr>
      </w:pPr>
      <w:r>
        <w:rPr>
          <w:rFonts w:hint="eastAsia" w:ascii="仿宋_GB2312" w:hAnsi="仿宋_GB2312" w:eastAsia="仿宋_GB2312" w:cs="仿宋_GB2312"/>
          <w:spacing w:val="-10"/>
          <w:sz w:val="28"/>
          <w:szCs w:val="28"/>
          <w:u w:val="none"/>
          <w:lang w:val="en-US" w:eastAsia="zh-CN"/>
        </w:rPr>
        <w:t xml:space="preserve">  </w:t>
      </w:r>
      <w:r>
        <w:rPr>
          <w:rFonts w:hint="eastAsia" w:ascii="仿宋_GB2312" w:hAnsi="仿宋_GB2312" w:eastAsia="仿宋_GB2312" w:cs="仿宋_GB2312"/>
          <w:spacing w:val="-10"/>
          <w:sz w:val="28"/>
          <w:szCs w:val="28"/>
          <w:u w:val="none"/>
          <w:lang w:eastAsia="zh-CN"/>
        </w:rPr>
        <w:t>抄送：</w:t>
      </w:r>
      <w:r>
        <w:rPr>
          <w:rFonts w:hint="eastAsia" w:ascii="仿宋_GB2312" w:hAnsi="仿宋_GB2312" w:eastAsia="仿宋_GB2312" w:cs="仿宋_GB2312"/>
          <w:snapToGrid w:val="0"/>
          <w:spacing w:val="0"/>
          <w:kern w:val="0"/>
          <w:sz w:val="28"/>
          <w:szCs w:val="28"/>
          <w:u w:val="none"/>
          <w:lang w:eastAsia="zh-CN"/>
        </w:rPr>
        <w:t>县委，县纪委县监委，县人大常委会，县政协，县人武部，</w:t>
      </w:r>
    </w:p>
    <w:p>
      <w:pPr>
        <w:keepNext w:val="0"/>
        <w:keepLines w:val="0"/>
        <w:pageBreakBefore w:val="0"/>
        <w:kinsoku/>
        <w:wordWrap/>
        <w:overflowPunct/>
        <w:topLinePunct w:val="0"/>
        <w:autoSpaceDE/>
        <w:autoSpaceDN/>
        <w:bidi w:val="0"/>
        <w:spacing w:line="560" w:lineRule="exact"/>
        <w:ind w:left="0" w:leftChars="0"/>
        <w:textAlignment w:val="auto"/>
        <w:rPr>
          <w:rFonts w:hint="eastAsia" w:ascii="仿宋_GB2312" w:hAnsi="仿宋_GB2312" w:eastAsia="仿宋_GB2312" w:cs="仿宋_GB2312"/>
          <w:spacing w:val="-10"/>
          <w:sz w:val="28"/>
          <w:szCs w:val="28"/>
          <w:u w:val="single"/>
        </w:rPr>
      </w:pPr>
      <w:r>
        <w:rPr>
          <w:rFonts w:hint="eastAsia" w:ascii="仿宋_GB2312" w:hAnsi="仿宋_GB2312" w:eastAsia="仿宋_GB2312" w:cs="仿宋_GB2312"/>
          <w:snapToGrid w:val="0"/>
          <w:spacing w:val="0"/>
          <w:kern w:val="0"/>
          <w:sz w:val="28"/>
          <w:szCs w:val="28"/>
          <w:u w:val="single"/>
          <w:lang w:val="en-US" w:eastAsia="zh-CN"/>
        </w:rPr>
        <w:t xml:space="preserve">        </w:t>
      </w:r>
      <w:r>
        <w:rPr>
          <w:rFonts w:hint="eastAsia" w:ascii="仿宋_GB2312" w:hAnsi="仿宋_GB2312" w:eastAsia="仿宋_GB2312" w:cs="仿宋_GB2312"/>
          <w:snapToGrid w:val="0"/>
          <w:spacing w:val="0"/>
          <w:kern w:val="0"/>
          <w:sz w:val="28"/>
          <w:szCs w:val="28"/>
          <w:u w:val="single"/>
          <w:lang w:eastAsia="zh-CN"/>
        </w:rPr>
        <w:t>县委各部门，县法院、县检察院，各人民团体。</w:t>
      </w:r>
      <w:r>
        <w:rPr>
          <w:rFonts w:hint="eastAsia" w:ascii="仿宋_GB2312" w:hAnsi="仿宋_GB2312" w:eastAsia="仿宋_GB2312" w:cs="仿宋_GB2312"/>
          <w:spacing w:val="-10"/>
          <w:sz w:val="28"/>
          <w:szCs w:val="28"/>
          <w:u w:val="single"/>
        </w:rPr>
        <w:t xml:space="preserve">                                                       </w:t>
      </w:r>
      <w:r>
        <w:rPr>
          <w:rFonts w:hint="eastAsia" w:ascii="仿宋_GB2312" w:hAnsi="仿宋_GB2312" w:eastAsia="仿宋_GB2312" w:cs="仿宋_GB2312"/>
          <w:spacing w:val="-10"/>
          <w:sz w:val="28"/>
          <w:szCs w:val="28"/>
          <w:u w:val="single"/>
          <w:lang w:val="en-US" w:eastAsia="zh-CN"/>
        </w:rPr>
        <w:t xml:space="preserve">   </w:t>
      </w:r>
      <w:r>
        <w:rPr>
          <w:rFonts w:hint="eastAsia" w:ascii="仿宋_GB2312" w:hAnsi="仿宋_GB2312" w:eastAsia="仿宋_GB2312" w:cs="仿宋_GB2312"/>
          <w:spacing w:val="-10"/>
          <w:sz w:val="28"/>
          <w:szCs w:val="28"/>
          <w:u w:val="single"/>
        </w:rPr>
        <w:t xml:space="preserve">            </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sz w:val="28"/>
          <w:szCs w:val="28"/>
          <w:u w:val="thick"/>
        </w:rPr>
      </w:pP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铅山县人民政府办公室秘书</w:t>
      </w:r>
      <w:r>
        <w:rPr>
          <w:rFonts w:hint="eastAsia" w:ascii="仿宋_GB2312" w:hAnsi="仿宋_GB2312" w:eastAsia="仿宋_GB2312" w:cs="仿宋_GB2312"/>
          <w:sz w:val="28"/>
          <w:szCs w:val="28"/>
          <w:u w:val="thick"/>
          <w:lang w:eastAsia="zh-CN"/>
        </w:rPr>
        <w:t>股</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default" w:ascii="仿宋_GB2312" w:hAnsi="仿宋_GB2312" w:eastAsia="仿宋_GB2312" w:cs="仿宋_GB2312"/>
          <w:sz w:val="28"/>
          <w:szCs w:val="28"/>
          <w:u w:val="thick"/>
          <w:lang w:val="en" w:eastAsia="zh-CN"/>
        </w:rPr>
        <w:t xml:space="preserve">   </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20</w:t>
      </w:r>
      <w:r>
        <w:rPr>
          <w:rFonts w:hint="eastAsia" w:ascii="仿宋_GB2312" w:hAnsi="仿宋_GB2312" w:eastAsia="仿宋_GB2312" w:cs="仿宋_GB2312"/>
          <w:sz w:val="28"/>
          <w:szCs w:val="28"/>
          <w:u w:val="thick"/>
          <w:lang w:val="en-US" w:eastAsia="zh-CN"/>
        </w:rPr>
        <w:t>23</w:t>
      </w:r>
      <w:r>
        <w:rPr>
          <w:rFonts w:hint="eastAsia" w:ascii="仿宋_GB2312" w:hAnsi="仿宋_GB2312" w:eastAsia="仿宋_GB2312" w:cs="仿宋_GB2312"/>
          <w:sz w:val="28"/>
          <w:szCs w:val="28"/>
          <w:u w:val="thick"/>
        </w:rPr>
        <w:t>年</w:t>
      </w:r>
      <w:r>
        <w:rPr>
          <w:rFonts w:hint="eastAsia" w:ascii="仿宋_GB2312" w:hAnsi="仿宋_GB2312" w:eastAsia="仿宋_GB2312" w:cs="仿宋_GB2312"/>
          <w:sz w:val="28"/>
          <w:szCs w:val="28"/>
          <w:u w:val="thick"/>
          <w:lang w:val="en-US" w:eastAsia="zh-CN"/>
        </w:rPr>
        <w:t>7</w:t>
      </w:r>
      <w:r>
        <w:rPr>
          <w:rFonts w:hint="eastAsia" w:ascii="仿宋_GB2312" w:hAnsi="仿宋_GB2312" w:eastAsia="仿宋_GB2312" w:cs="仿宋_GB2312"/>
          <w:sz w:val="28"/>
          <w:szCs w:val="28"/>
          <w:u w:val="thick"/>
        </w:rPr>
        <w:t>月</w:t>
      </w:r>
      <w:r>
        <w:rPr>
          <w:rFonts w:hint="eastAsia" w:ascii="仿宋_GB2312" w:hAnsi="仿宋_GB2312" w:eastAsia="仿宋_GB2312" w:cs="仿宋_GB2312"/>
          <w:sz w:val="28"/>
          <w:szCs w:val="28"/>
          <w:u w:val="thick"/>
          <w:lang w:val="en-US" w:eastAsia="zh-CN"/>
        </w:rPr>
        <w:t>19</w:t>
      </w:r>
      <w:r>
        <w:rPr>
          <w:rFonts w:hint="eastAsia" w:ascii="仿宋_GB2312" w:hAnsi="仿宋_GB2312" w:eastAsia="仿宋_GB2312" w:cs="仿宋_GB2312"/>
          <w:sz w:val="28"/>
          <w:szCs w:val="28"/>
          <w:u w:val="thick"/>
        </w:rPr>
        <w:t xml:space="preserve">日印发  </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b w:val="0"/>
          <w:bCs w:val="0"/>
          <w:spacing w:val="0"/>
          <w:sz w:val="44"/>
          <w:szCs w:val="44"/>
          <w:highlight w:val="none"/>
        </w:rPr>
      </w:pPr>
      <w:r>
        <w:rPr>
          <w:rFonts w:hint="eastAsia" w:ascii="方正小标宋简体" w:hAnsi="方正小标宋简体" w:eastAsia="方正小标宋简体" w:cs="方正小标宋简体"/>
          <w:b w:val="0"/>
          <w:bCs w:val="0"/>
          <w:spacing w:val="0"/>
          <w:sz w:val="44"/>
          <w:szCs w:val="44"/>
          <w:highlight w:val="none"/>
        </w:rPr>
        <w:t>铅山县人民政府</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宋体" w:hAnsi="宋体" w:cs="宋体"/>
          <w:b/>
          <w:bCs/>
          <w:sz w:val="44"/>
          <w:szCs w:val="44"/>
        </w:rPr>
      </w:pPr>
      <w:r>
        <w:rPr>
          <w:rFonts w:hint="eastAsia" w:ascii="方正小标宋简体" w:hAnsi="方正小标宋简体" w:eastAsia="方正小标宋简体" w:cs="方正小标宋简体"/>
          <w:b w:val="0"/>
          <w:bCs w:val="0"/>
          <w:spacing w:val="0"/>
          <w:sz w:val="44"/>
          <w:szCs w:val="44"/>
          <w:highlight w:val="none"/>
        </w:rPr>
        <w:t>关于</w:t>
      </w:r>
      <w:r>
        <w:rPr>
          <w:rFonts w:hint="eastAsia" w:ascii="方正小标宋简体" w:hAnsi="方正小标宋简体" w:eastAsia="方正小标宋简体" w:cs="方正小标宋简体"/>
          <w:sz w:val="44"/>
          <w:szCs w:val="44"/>
          <w:highlight w:val="none"/>
          <w:lang w:val="en-US" w:eastAsia="zh-CN"/>
        </w:rPr>
        <w:t>徐金等</w:t>
      </w:r>
      <w:r>
        <w:rPr>
          <w:rFonts w:hint="eastAsia" w:ascii="方正小标宋简体" w:hAnsi="方正小标宋简体" w:eastAsia="方正小标宋简体" w:cs="方正小标宋简体"/>
          <w:sz w:val="44"/>
          <w:szCs w:val="44"/>
          <w:highlight w:val="none"/>
        </w:rPr>
        <w:t>同志</w:t>
      </w:r>
      <w:r>
        <w:rPr>
          <w:rFonts w:hint="eastAsia" w:ascii="方正小标宋简体" w:hAnsi="方正小标宋简体" w:eastAsia="方正小标宋简体" w:cs="方正小标宋简体"/>
          <w:sz w:val="44"/>
          <w:szCs w:val="44"/>
          <w:highlight w:val="none"/>
          <w:lang w:val="en-US" w:eastAsia="zh-CN"/>
        </w:rPr>
        <w:t>职务任免</w:t>
      </w:r>
      <w:r>
        <w:rPr>
          <w:rFonts w:hint="eastAsia" w:ascii="方正小标宋简体" w:hAnsi="方正小标宋简体" w:eastAsia="方正小标宋简体" w:cs="方正小标宋简体"/>
          <w:b w:val="0"/>
          <w:bCs w:val="0"/>
          <w:spacing w:val="0"/>
          <w:sz w:val="44"/>
          <w:szCs w:val="44"/>
          <w:highlight w:val="none"/>
        </w:rPr>
        <w:t>的通知</w:t>
      </w: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outlineLvl w:val="0"/>
        <w:rPr>
          <w:rFonts w:hint="eastAsia"/>
          <w:b/>
          <w:bCs/>
          <w:sz w:val="44"/>
          <w:szCs w:val="44"/>
        </w:r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0" w:leftChars="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各乡（镇）人民政府，青溪</w:t>
      </w:r>
      <w:r>
        <w:rPr>
          <w:rFonts w:hint="eastAsia" w:ascii="仿宋_GB2312" w:hAnsi="仿宋_GB2312" w:eastAsia="仿宋_GB2312" w:cs="仿宋_GB2312"/>
          <w:color w:val="auto"/>
          <w:sz w:val="32"/>
          <w:szCs w:val="32"/>
          <w:shd w:val="clear" w:color="auto" w:fill="FFFFFF"/>
          <w:lang w:eastAsia="zh-CN"/>
        </w:rPr>
        <w:t>办事处</w:t>
      </w:r>
      <w:r>
        <w:rPr>
          <w:rFonts w:hint="eastAsia" w:ascii="仿宋_GB2312" w:hAnsi="仿宋_GB2312" w:eastAsia="仿宋_GB2312" w:cs="仿宋_GB2312"/>
          <w:color w:val="auto"/>
          <w:sz w:val="32"/>
          <w:szCs w:val="32"/>
          <w:shd w:val="clear" w:color="auto" w:fill="FFFFFF"/>
        </w:rPr>
        <w:t>，县直各单位：</w:t>
      </w:r>
    </w:p>
    <w:p>
      <w:pPr>
        <w:keepNext w:val="0"/>
        <w:keepLines w:val="0"/>
        <w:pageBreakBefore w:val="0"/>
        <w:kinsoku/>
        <w:wordWrap/>
        <w:overflowPunct/>
        <w:topLinePunct w:val="0"/>
        <w:autoSpaceDE/>
        <w:autoSpaceDN/>
        <w:bidi w:val="0"/>
        <w:adjustRightInd/>
        <w:snapToGrid/>
        <w:spacing w:line="52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根据《</w:t>
      </w:r>
      <w:r>
        <w:rPr>
          <w:rFonts w:hint="eastAsia" w:ascii="仿宋_GB2312" w:hAnsi="仿宋_GB2312" w:eastAsia="仿宋_GB2312" w:cs="仿宋_GB2312"/>
          <w:color w:val="auto"/>
          <w:sz w:val="32"/>
          <w:szCs w:val="32"/>
        </w:rPr>
        <w:t>中共铅山县委</w:t>
      </w:r>
      <w:r>
        <w:rPr>
          <w:rFonts w:hint="eastAsia" w:ascii="仿宋_GB2312" w:hAnsi="仿宋_GB2312" w:eastAsia="仿宋_GB2312" w:cs="仿宋_GB2312"/>
          <w:color w:val="auto"/>
          <w:sz w:val="32"/>
          <w:szCs w:val="32"/>
          <w:lang w:eastAsia="zh-CN"/>
        </w:rPr>
        <w:t>关于提名</w:t>
      </w:r>
      <w:r>
        <w:rPr>
          <w:rFonts w:hint="eastAsia" w:ascii="仿宋_GB2312" w:hAnsi="仿宋_GB2312" w:eastAsia="仿宋_GB2312" w:cs="仿宋_GB2312"/>
          <w:color w:val="auto"/>
          <w:sz w:val="32"/>
          <w:szCs w:val="32"/>
          <w:lang w:val="en-US" w:eastAsia="zh-CN"/>
        </w:rPr>
        <w:t>徐金等</w:t>
      </w:r>
      <w:r>
        <w:rPr>
          <w:rFonts w:hint="eastAsia" w:ascii="仿宋_GB2312" w:hAnsi="仿宋_GB2312" w:eastAsia="仿宋_GB2312" w:cs="仿宋_GB2312"/>
          <w:color w:val="auto"/>
          <w:sz w:val="32"/>
          <w:szCs w:val="32"/>
          <w:lang w:eastAsia="zh-CN"/>
        </w:rPr>
        <w:t>同志职务任免的通知》（</w:t>
      </w:r>
      <w:r>
        <w:rPr>
          <w:rFonts w:hint="eastAsia" w:ascii="仿宋_GB2312" w:hAnsi="仿宋_GB2312" w:eastAsia="仿宋_GB2312" w:cs="仿宋_GB2312"/>
          <w:color w:val="auto"/>
          <w:sz w:val="32"/>
          <w:szCs w:val="32"/>
        </w:rPr>
        <w:t>铅字〔20</w:t>
      </w:r>
      <w:r>
        <w:rPr>
          <w:rFonts w:hint="eastAsia" w:ascii="仿宋_GB2312" w:hAnsi="仿宋_GB2312" w:eastAsia="仿宋_GB2312" w:cs="仿宋_GB2312"/>
          <w:color w:val="auto"/>
          <w:sz w:val="32"/>
          <w:szCs w:val="32"/>
          <w:lang w:val="en-US" w:eastAsia="zh-CN"/>
        </w:rPr>
        <w:t>23</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48</w:t>
      </w:r>
      <w:r>
        <w:rPr>
          <w:rFonts w:hint="eastAsia" w:ascii="仿宋_GB2312" w:hAnsi="仿宋_GB2312" w:eastAsia="仿宋_GB2312" w:cs="仿宋_GB2312"/>
          <w:color w:val="auto"/>
          <w:sz w:val="32"/>
          <w:szCs w:val="32"/>
        </w:rPr>
        <w:t>号</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，经县政府研究决定：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徐金同志兼任铅山县档案局局长；</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陈柯同志兼任铅山县农业综合行政执法大队大队长；</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陈锋同志兼任铅山县应急管理综合行政执法大队大队长；</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郑展青同志兼任铅山县国防动员办公室主任、县人民防空办公室主任；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应俊同志任铅山县政务服务和大数据管理局副局长；</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叶丽格同志任铅山县政务服务和大数据管理局副局长（试用期一年）；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黄书磊同志任铅山县司法局葛仙山司法所所长，免去其铅山县司法局陈坊司法所所长职务；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曹彦康同志任铅山县司法局汪二司法所所长，免去其铅山县司法局英将司法所所长职务；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毛诚同志任铅山县司法局陈坊司法所所长（试用期一年）；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邓思哲同志任铅山县达惠融资担保有限责任公司董事长兼总经理（试用期一年，按副科级干部管理）。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免去：</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蒋检胜同志的铅山县农业综合行政执法大队大队长职务；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textAlignment w:val="auto"/>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葛敏鸿同志的铅山县应急管理综合行政执法大队大队长职务；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陈招飞同志的铅山县人民防空办公室主任职务；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蔡建英同志的铅山县政务服务和大数据管理局副局长职务；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罗伟昊同志的铅山县司法局葛仙山司法所所长职务；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周晨亮同志的铅山县司法局太源司法所所长职务；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616"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林芝同志的湖坊镇综合便民服务中心主任（试用期一年）职务。</w:t>
      </w:r>
    </w:p>
    <w:p>
      <w:pPr>
        <w:keepNext w:val="0"/>
        <w:keepLines w:val="0"/>
        <w:pageBreakBefore w:val="0"/>
        <w:kinsoku/>
        <w:wordWrap/>
        <w:overflowPunct/>
        <w:topLinePunct w:val="0"/>
        <w:autoSpaceDE/>
        <w:autoSpaceDN/>
        <w:bidi w:val="0"/>
        <w:adjustRightInd/>
        <w:snapToGrid/>
        <w:spacing w:line="520" w:lineRule="exact"/>
        <w:ind w:left="0" w:leftChars="0"/>
        <w:jc w:val="both"/>
        <w:textAlignment w:val="auto"/>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0"/>
          <w:sz w:val="32"/>
          <w:szCs w:val="32"/>
          <w:highlight w:val="none"/>
          <w:lang w:val="en-US" w:eastAsia="zh-CN"/>
        </w:rPr>
        <w:t xml:space="preserve">    </w:t>
      </w:r>
      <w:r>
        <w:rPr>
          <w:rFonts w:hint="eastAsia" w:ascii="仿宋_GB2312" w:hAnsi="仿宋_GB2312" w:eastAsia="仿宋_GB2312" w:cs="仿宋_GB2312"/>
          <w:spacing w:val="-6"/>
          <w:sz w:val="32"/>
          <w:szCs w:val="32"/>
          <w:highlight w:val="none"/>
          <w:lang w:val="en-US" w:eastAsia="zh-CN"/>
        </w:rPr>
        <w:t>所涉企业董事长、总经理职务的任免，请按有关规定程序办理。</w:t>
      </w:r>
    </w:p>
    <w:p>
      <w:pPr>
        <w:keepNext w:val="0"/>
        <w:keepLines w:val="0"/>
        <w:pageBreakBefore w:val="0"/>
        <w:kinsoku/>
        <w:wordWrap/>
        <w:overflowPunct/>
        <w:topLinePunct w:val="0"/>
        <w:autoSpaceDE/>
        <w:autoSpaceDN/>
        <w:bidi w:val="0"/>
        <w:adjustRightInd/>
        <w:snapToGrid/>
        <w:spacing w:line="52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0"/>
          <w:sz w:val="32"/>
          <w:szCs w:val="32"/>
          <w:highlight w:val="none"/>
          <w:lang w:val="en-US" w:eastAsia="zh-CN"/>
        </w:rPr>
        <w:t xml:space="preserve">    特此通知。</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autoSpaceDE/>
        <w:autoSpaceDN/>
        <w:bidi w:val="0"/>
        <w:adjustRightInd/>
        <w:snapToGrid/>
        <w:spacing w:line="52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铅山县人民政府 </w:t>
      </w:r>
    </w:p>
    <w:p>
      <w:pPr>
        <w:keepNext w:val="0"/>
        <w:keepLines w:val="0"/>
        <w:pageBreakBefore w:val="0"/>
        <w:kinsoku/>
        <w:wordWrap/>
        <w:overflowPunct/>
        <w:topLinePunct w:val="0"/>
        <w:autoSpaceDE/>
        <w:autoSpaceDN/>
        <w:bidi w:val="0"/>
        <w:adjustRightInd/>
        <w:snapToGrid/>
        <w:spacing w:line="520" w:lineRule="exact"/>
        <w:ind w:left="0" w:lef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日　</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（此件主动公开）</w:t>
      </w:r>
    </w:p>
    <w:p>
      <w:pPr>
        <w:pStyle w:val="2"/>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pStyle w:val="3"/>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400" w:lineRule="exact"/>
        <w:ind w:left="130" w:leftChars="0" w:hanging="130" w:hangingChars="50"/>
        <w:textAlignment w:val="auto"/>
        <w:rPr>
          <w:rFonts w:hint="default" w:ascii="仿宋_GB2312" w:hAnsi="仿宋_GB2312" w:eastAsia="仿宋_GB2312" w:cs="仿宋_GB2312"/>
          <w:spacing w:val="-10"/>
          <w:sz w:val="28"/>
          <w:szCs w:val="28"/>
          <w:u w:val="thick"/>
          <w:lang w:val="en-US" w:eastAsia="zh-CN"/>
        </w:rPr>
      </w:pPr>
      <w:r>
        <w:rPr>
          <w:rFonts w:hint="eastAsia" w:ascii="仿宋_GB2312" w:hAnsi="仿宋_GB2312" w:eastAsia="仿宋_GB2312" w:cs="仿宋_GB2312"/>
          <w:spacing w:val="-10"/>
          <w:sz w:val="28"/>
          <w:szCs w:val="28"/>
          <w:u w:val="thick"/>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130" w:leftChars="0" w:hanging="130" w:hangingChars="50"/>
        <w:textAlignment w:val="auto"/>
        <w:rPr>
          <w:rFonts w:hint="eastAsia" w:ascii="仿宋_GB2312" w:hAnsi="仿宋_GB2312" w:eastAsia="仿宋_GB2312" w:cs="仿宋_GB2312"/>
          <w:snapToGrid w:val="0"/>
          <w:spacing w:val="0"/>
          <w:kern w:val="0"/>
          <w:sz w:val="28"/>
          <w:szCs w:val="28"/>
          <w:u w:val="none"/>
          <w:lang w:eastAsia="zh-CN"/>
        </w:rPr>
      </w:pPr>
      <w:r>
        <w:rPr>
          <w:rFonts w:hint="eastAsia" w:ascii="仿宋_GB2312" w:hAnsi="仿宋_GB2312" w:eastAsia="仿宋_GB2312" w:cs="仿宋_GB2312"/>
          <w:spacing w:val="-10"/>
          <w:sz w:val="28"/>
          <w:szCs w:val="28"/>
          <w:u w:val="none"/>
          <w:lang w:val="en-US" w:eastAsia="zh-CN"/>
        </w:rPr>
        <w:t xml:space="preserve">  </w:t>
      </w:r>
      <w:r>
        <w:rPr>
          <w:rFonts w:hint="eastAsia" w:ascii="仿宋_GB2312" w:hAnsi="仿宋_GB2312" w:eastAsia="仿宋_GB2312" w:cs="仿宋_GB2312"/>
          <w:spacing w:val="-10"/>
          <w:sz w:val="28"/>
          <w:szCs w:val="28"/>
          <w:u w:val="none"/>
          <w:lang w:eastAsia="zh-CN"/>
        </w:rPr>
        <w:t>抄送：</w:t>
      </w:r>
      <w:r>
        <w:rPr>
          <w:rFonts w:hint="eastAsia" w:ascii="仿宋_GB2312" w:hAnsi="仿宋_GB2312" w:eastAsia="仿宋_GB2312" w:cs="仿宋_GB2312"/>
          <w:snapToGrid w:val="0"/>
          <w:spacing w:val="0"/>
          <w:kern w:val="0"/>
          <w:sz w:val="28"/>
          <w:szCs w:val="28"/>
          <w:u w:val="none"/>
          <w:lang w:eastAsia="zh-CN"/>
        </w:rPr>
        <w:t>县委，县纪委县监委，县人大常委会，县政协，县人武部，县委</w:t>
      </w:r>
    </w:p>
    <w:p>
      <w:pPr>
        <w:keepNext w:val="0"/>
        <w:keepLines w:val="0"/>
        <w:pageBreakBefore w:val="0"/>
        <w:widowControl w:val="0"/>
        <w:kinsoku/>
        <w:wordWrap/>
        <w:overflowPunct/>
        <w:topLinePunct w:val="0"/>
        <w:autoSpaceDE/>
        <w:autoSpaceDN/>
        <w:bidi w:val="0"/>
        <w:adjustRightInd/>
        <w:snapToGrid/>
        <w:spacing w:line="400" w:lineRule="exact"/>
        <w:ind w:left="140" w:leftChars="0" w:hanging="140" w:hangingChars="50"/>
        <w:textAlignment w:val="auto"/>
        <w:rPr>
          <w:rFonts w:hint="eastAsia" w:ascii="仿宋_GB2312" w:hAnsi="仿宋_GB2312" w:eastAsia="仿宋_GB2312" w:cs="仿宋_GB2312"/>
          <w:spacing w:val="-10"/>
          <w:sz w:val="28"/>
          <w:szCs w:val="28"/>
          <w:u w:val="single"/>
        </w:rPr>
      </w:pPr>
      <w:r>
        <w:rPr>
          <w:rFonts w:hint="eastAsia" w:ascii="仿宋_GB2312" w:hAnsi="仿宋_GB2312" w:eastAsia="仿宋_GB2312" w:cs="仿宋_GB2312"/>
          <w:snapToGrid w:val="0"/>
          <w:spacing w:val="0"/>
          <w:kern w:val="0"/>
          <w:sz w:val="28"/>
          <w:szCs w:val="28"/>
          <w:u w:val="single"/>
          <w:lang w:val="en-US" w:eastAsia="zh-CN"/>
        </w:rPr>
        <w:t xml:space="preserve">       </w:t>
      </w:r>
      <w:r>
        <w:rPr>
          <w:rFonts w:hint="eastAsia" w:ascii="仿宋_GB2312" w:hAnsi="仿宋_GB2312" w:eastAsia="仿宋_GB2312" w:cs="仿宋_GB2312"/>
          <w:snapToGrid w:val="0"/>
          <w:spacing w:val="0"/>
          <w:kern w:val="0"/>
          <w:sz w:val="28"/>
          <w:szCs w:val="28"/>
          <w:u w:val="single"/>
          <w:lang w:eastAsia="zh-CN"/>
        </w:rPr>
        <w:t>各部门，县法院、县检察院，各人民团体。</w:t>
      </w:r>
      <w:r>
        <w:rPr>
          <w:rFonts w:hint="eastAsia" w:ascii="仿宋_GB2312" w:hAnsi="仿宋_GB2312" w:eastAsia="仿宋_GB2312" w:cs="仿宋_GB2312"/>
          <w:spacing w:val="-10"/>
          <w:sz w:val="28"/>
          <w:szCs w:val="28"/>
          <w:u w:val="single"/>
        </w:rPr>
        <w:t xml:space="preserve">                                                       </w:t>
      </w:r>
      <w:r>
        <w:rPr>
          <w:rFonts w:hint="eastAsia" w:ascii="仿宋_GB2312" w:hAnsi="仿宋_GB2312" w:eastAsia="仿宋_GB2312" w:cs="仿宋_GB2312"/>
          <w:spacing w:val="-10"/>
          <w:sz w:val="28"/>
          <w:szCs w:val="28"/>
          <w:u w:val="single"/>
          <w:lang w:val="en-US" w:eastAsia="zh-CN"/>
        </w:rPr>
        <w:t xml:space="preserve">   </w:t>
      </w:r>
      <w:r>
        <w:rPr>
          <w:rFonts w:hint="eastAsia" w:ascii="仿宋_GB2312" w:hAnsi="仿宋_GB2312" w:eastAsia="仿宋_GB2312" w:cs="仿宋_GB2312"/>
          <w:spacing w:val="-10"/>
          <w:sz w:val="28"/>
          <w:szCs w:val="28"/>
          <w:u w:val="single"/>
        </w:rPr>
        <w:t xml:space="preserve">            </w:t>
      </w:r>
    </w:p>
    <w:p>
      <w:pPr>
        <w:pStyle w:val="17"/>
        <w:rPr>
          <w:rFonts w:hint="eastAsia"/>
          <w:lang w:val="en-US" w:eastAsia="zh-CN"/>
        </w:rPr>
      </w:pP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铅山县人民政府办公室秘书</w:t>
      </w:r>
      <w:r>
        <w:rPr>
          <w:rFonts w:hint="eastAsia" w:ascii="仿宋_GB2312" w:hAnsi="仿宋_GB2312" w:eastAsia="仿宋_GB2312" w:cs="仿宋_GB2312"/>
          <w:sz w:val="28"/>
          <w:szCs w:val="28"/>
          <w:u w:val="thick"/>
          <w:lang w:eastAsia="zh-CN"/>
        </w:rPr>
        <w:t>股</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w:t>
      </w:r>
      <w:r>
        <w:rPr>
          <w:rFonts w:hint="eastAsia" w:ascii="仿宋_GB2312" w:hAnsi="仿宋_GB2312" w:eastAsia="仿宋_GB2312" w:cs="仿宋_GB2312"/>
          <w:sz w:val="28"/>
          <w:szCs w:val="28"/>
          <w:u w:val="thick"/>
          <w:lang w:val="en-US" w:eastAsia="zh-CN"/>
        </w:rPr>
        <w:t xml:space="preserve">  </w:t>
      </w:r>
      <w:r>
        <w:rPr>
          <w:rFonts w:hint="eastAsia" w:ascii="仿宋_GB2312" w:hAnsi="仿宋_GB2312" w:eastAsia="仿宋_GB2312" w:cs="仿宋_GB2312"/>
          <w:sz w:val="28"/>
          <w:szCs w:val="28"/>
          <w:u w:val="thick"/>
        </w:rPr>
        <w:t xml:space="preserve"> 20</w:t>
      </w:r>
      <w:r>
        <w:rPr>
          <w:rFonts w:hint="eastAsia" w:ascii="仿宋_GB2312" w:hAnsi="仿宋_GB2312" w:eastAsia="仿宋_GB2312" w:cs="仿宋_GB2312"/>
          <w:sz w:val="28"/>
          <w:szCs w:val="28"/>
          <w:u w:val="thick"/>
          <w:lang w:val="en-US" w:eastAsia="zh-CN"/>
        </w:rPr>
        <w:t>23</w:t>
      </w:r>
      <w:r>
        <w:rPr>
          <w:rFonts w:hint="eastAsia" w:ascii="仿宋_GB2312" w:hAnsi="仿宋_GB2312" w:eastAsia="仿宋_GB2312" w:cs="仿宋_GB2312"/>
          <w:sz w:val="28"/>
          <w:szCs w:val="28"/>
          <w:u w:val="thick"/>
        </w:rPr>
        <w:t>年</w:t>
      </w:r>
      <w:r>
        <w:rPr>
          <w:rFonts w:hint="eastAsia" w:ascii="仿宋_GB2312" w:hAnsi="仿宋_GB2312" w:eastAsia="仿宋_GB2312" w:cs="仿宋_GB2312"/>
          <w:sz w:val="28"/>
          <w:szCs w:val="28"/>
          <w:u w:val="thick"/>
          <w:lang w:val="en-US" w:eastAsia="zh-CN"/>
        </w:rPr>
        <w:t>10</w:t>
      </w:r>
      <w:r>
        <w:rPr>
          <w:rFonts w:hint="eastAsia" w:ascii="仿宋_GB2312" w:hAnsi="仿宋_GB2312" w:eastAsia="仿宋_GB2312" w:cs="仿宋_GB2312"/>
          <w:sz w:val="28"/>
          <w:szCs w:val="28"/>
          <w:u w:val="thick"/>
        </w:rPr>
        <w:t>月</w:t>
      </w:r>
      <w:r>
        <w:rPr>
          <w:rFonts w:hint="eastAsia" w:ascii="仿宋_GB2312" w:hAnsi="仿宋_GB2312" w:eastAsia="仿宋_GB2312" w:cs="仿宋_GB2312"/>
          <w:sz w:val="28"/>
          <w:szCs w:val="28"/>
          <w:u w:val="thick"/>
          <w:lang w:val="en-US" w:eastAsia="zh-CN"/>
        </w:rPr>
        <w:t>17</w:t>
      </w:r>
      <w:r>
        <w:rPr>
          <w:rFonts w:hint="eastAsia" w:ascii="仿宋_GB2312" w:hAnsi="仿宋_GB2312" w:eastAsia="仿宋_GB2312" w:cs="仿宋_GB2312"/>
          <w:sz w:val="28"/>
          <w:szCs w:val="28"/>
          <w:u w:val="thick"/>
        </w:rPr>
        <w:t xml:space="preserve">日印发  </w:t>
      </w:r>
    </w:p>
    <w:sectPr>
      <w:footerReference r:id="rId10" w:type="default"/>
      <w:pgSz w:w="11906" w:h="16838"/>
      <w:pgMar w:top="2098" w:right="1474" w:bottom="1984" w:left="1587"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方正楷体_GB2312">
    <w:panose1 w:val="02000000000000000000"/>
    <w:charset w:val="86"/>
    <w:family w:val="auto"/>
    <w:pitch w:val="default"/>
    <w:sig w:usb0="A00002BF" w:usb1="184F6CFA" w:usb2="00000012" w:usb3="00000000" w:csb0="00040001" w:csb1="00000000"/>
  </w:font>
  <w:font w:name="方正楷体_GBK">
    <w:altName w:val="微软雅黑"/>
    <w:panose1 w:val="02000000000000000000"/>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Lines="0" w:afterLines="0"/>
      <w:jc w:val="both"/>
      <w:rPr>
        <w:rFonts w:hint="eastAsia"/>
        <w:sz w:val="18"/>
        <w:szCs w:val="24"/>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2C4C67"/>
    <w:multiLevelType w:val="multilevel"/>
    <w:tmpl w:val="DC2C4C67"/>
    <w:lvl w:ilvl="0" w:tentative="0">
      <w:start w:val="1"/>
      <w:numFmt w:val="decimal"/>
      <w:suff w:val="space"/>
      <w:lvlText w:val="%1 "/>
      <w:lvlJc w:val="left"/>
      <w:pPr>
        <w:tabs>
          <w:tab w:val="left" w:pos="0"/>
        </w:tabs>
        <w:ind w:left="0" w:firstLine="0"/>
      </w:pPr>
      <w:rPr>
        <w:rFonts w:hint="eastAsia" w:ascii="Times New Roman" w:hAnsi="Times New Roman" w:eastAsia="Times New Roman"/>
        <w:sz w:val="36"/>
        <w:u w:val="none" w:color="auto"/>
      </w:rPr>
    </w:lvl>
    <w:lvl w:ilvl="1" w:tentative="0">
      <w:start w:val="1"/>
      <w:numFmt w:val="decimal"/>
      <w:pStyle w:val="5"/>
      <w:isLgl/>
      <w:suff w:val="space"/>
      <w:lvlText w:val="%1.%2"/>
      <w:lvlJc w:val="left"/>
      <w:pPr>
        <w:tabs>
          <w:tab w:val="left" w:pos="0"/>
        </w:tabs>
        <w:ind w:left="0" w:firstLine="0"/>
      </w:pPr>
      <w:rPr>
        <w:rFonts w:hint="eastAsia" w:ascii="Times New Roman" w:hAnsi="Times New Roman" w:eastAsia="Times New Roman"/>
        <w:u w:val="none" w:color="auto"/>
      </w:rPr>
    </w:lvl>
    <w:lvl w:ilvl="2" w:tentative="0">
      <w:start w:val="1"/>
      <w:numFmt w:val="decimal"/>
      <w:pStyle w:val="6"/>
      <w:isLgl/>
      <w:suff w:val="space"/>
      <w:lvlText w:val="%1.%2.%3"/>
      <w:lvlJc w:val="left"/>
      <w:pPr>
        <w:tabs>
          <w:tab w:val="left" w:pos="0"/>
        </w:tabs>
        <w:ind w:left="0" w:firstLine="0"/>
      </w:pPr>
      <w:rPr>
        <w:rFonts w:hint="eastAsia" w:ascii="Times New Roman" w:hAnsi="Times New Roman" w:eastAsia="Times New Roman"/>
        <w:u w:val="none" w:color="auto"/>
      </w:rPr>
    </w:lvl>
    <w:lvl w:ilvl="3" w:tentative="0">
      <w:start w:val="1"/>
      <w:numFmt w:val="decimal"/>
      <w:pStyle w:val="7"/>
      <w:isLgl/>
      <w:suff w:val="space"/>
      <w:lvlText w:val="%1.%2.%3.%4"/>
      <w:lvlJc w:val="left"/>
      <w:pPr>
        <w:tabs>
          <w:tab w:val="left" w:pos="0"/>
        </w:tabs>
        <w:ind w:left="0" w:firstLine="0"/>
      </w:pPr>
      <w:rPr>
        <w:rFonts w:hint="eastAsia" w:ascii="Times New Roman" w:hAnsi="Times New Roman" w:eastAsia="Times New Roman"/>
        <w:u w:val="none" w:color="auto"/>
      </w:rPr>
    </w:lvl>
    <w:lvl w:ilvl="4" w:tentative="0">
      <w:start w:val="1"/>
      <w:numFmt w:val="decimal"/>
      <w:isLgl/>
      <w:lvlText w:val="%1.%2.%3.%4.%5."/>
      <w:lvlJc w:val="left"/>
      <w:pPr>
        <w:ind w:left="991" w:hanging="991"/>
      </w:pPr>
      <w:rPr>
        <w:rFonts w:hint="default"/>
        <w:u w:val="none" w:color="auto"/>
      </w:rPr>
    </w:lvl>
    <w:lvl w:ilvl="5" w:tentative="0">
      <w:start w:val="1"/>
      <w:numFmt w:val="decimal"/>
      <w:isLgl/>
      <w:lvlText w:val="%1.%2.%3.%4.%5.%6."/>
      <w:lvlJc w:val="left"/>
      <w:pPr>
        <w:ind w:left="1134" w:hanging="1134"/>
      </w:pPr>
      <w:rPr>
        <w:rFonts w:hint="default"/>
        <w:u w:val="none" w:color="auto"/>
      </w:rPr>
    </w:lvl>
    <w:lvl w:ilvl="6" w:tentative="0">
      <w:start w:val="1"/>
      <w:numFmt w:val="decimal"/>
      <w:isLgl/>
      <w:lvlText w:val="%1.%2.%3.%4.%5.%6.%7."/>
      <w:lvlJc w:val="left"/>
      <w:pPr>
        <w:ind w:left="1275" w:hanging="1275"/>
      </w:pPr>
      <w:rPr>
        <w:rFonts w:hint="default"/>
        <w:u w:val="none" w:color="auto"/>
      </w:rPr>
    </w:lvl>
    <w:lvl w:ilvl="7" w:tentative="0">
      <w:start w:val="1"/>
      <w:numFmt w:val="decimal"/>
      <w:isLgl/>
      <w:lvlText w:val="%1.%2.%3.%4.%5.%6.%7.%8."/>
      <w:lvlJc w:val="left"/>
      <w:pPr>
        <w:ind w:left="1418" w:hanging="1418"/>
      </w:pPr>
      <w:rPr>
        <w:rFonts w:hint="default"/>
        <w:u w:val="none" w:color="auto"/>
      </w:rPr>
    </w:lvl>
    <w:lvl w:ilvl="8" w:tentative="0">
      <w:start w:val="1"/>
      <w:numFmt w:val="decimal"/>
      <w:isLgl/>
      <w:lvlText w:val="%1.%2.%3.%4.%5.%6.%7.%8.%9."/>
      <w:lvlJc w:val="left"/>
      <w:pPr>
        <w:ind w:left="1558" w:hanging="1558"/>
      </w:pPr>
      <w:rPr>
        <w:rFonts w:hint="default"/>
        <w:u w:val="none" w:color="auto"/>
      </w:rPr>
    </w:lvl>
  </w:abstractNum>
  <w:abstractNum w:abstractNumId="1">
    <w:nsid w:val="241CEB18"/>
    <w:multiLevelType w:val="multilevel"/>
    <w:tmpl w:val="241CEB18"/>
    <w:lvl w:ilvl="0" w:tentative="0">
      <w:start w:val="1"/>
      <w:numFmt w:val="decimal"/>
      <w:suff w:val="nothing"/>
      <w:lvlText w:val="(%1)"/>
      <w:lvlJc w:val="left"/>
      <w:pPr>
        <w:tabs>
          <w:tab w:val="left" w:pos="0"/>
        </w:tabs>
        <w:ind w:left="0" w:firstLine="40"/>
      </w:pPr>
      <w:rPr>
        <w:rFonts w:hint="eastAsia" w:ascii="Times New Roman" w:hAnsi="Times New Roman" w:eastAsia="Times New Roman"/>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7E7B62D7"/>
    <w:multiLevelType w:val="multilevel"/>
    <w:tmpl w:val="7E7B62D7"/>
    <w:lvl w:ilvl="0" w:tentative="0">
      <w:start w:val="1"/>
      <w:numFmt w:val="decimal"/>
      <w:suff w:val="nothing"/>
      <w:lvlText w:val="(%1)"/>
      <w:lvlJc w:val="left"/>
      <w:pPr>
        <w:tabs>
          <w:tab w:val="left" w:pos="0"/>
        </w:tabs>
        <w:ind w:left="0" w:firstLine="40"/>
      </w:pPr>
      <w:rPr>
        <w:rFonts w:hint="eastAsia" w:ascii="Times New Roman" w:hAnsi="Times New Roman" w:eastAsia="Times New Roman"/>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mZGNjZDVhOWVjZThlNDVhNWZlNDRkZjc4NDRlMzUifQ=="/>
  </w:docVars>
  <w:rsids>
    <w:rsidRoot w:val="00000000"/>
    <w:rsid w:val="020B0911"/>
    <w:rsid w:val="03214C6A"/>
    <w:rsid w:val="047B412A"/>
    <w:rsid w:val="06E6274E"/>
    <w:rsid w:val="074D799D"/>
    <w:rsid w:val="08D300BA"/>
    <w:rsid w:val="098F7087"/>
    <w:rsid w:val="0A346DD3"/>
    <w:rsid w:val="11F258EE"/>
    <w:rsid w:val="12CD0CD7"/>
    <w:rsid w:val="12FC03E8"/>
    <w:rsid w:val="13591458"/>
    <w:rsid w:val="138F34E5"/>
    <w:rsid w:val="1397771B"/>
    <w:rsid w:val="150D6A36"/>
    <w:rsid w:val="18C9402A"/>
    <w:rsid w:val="1981318C"/>
    <w:rsid w:val="1DB24678"/>
    <w:rsid w:val="1F7E7A64"/>
    <w:rsid w:val="1FFDF749"/>
    <w:rsid w:val="200011BA"/>
    <w:rsid w:val="20C9562B"/>
    <w:rsid w:val="219041E5"/>
    <w:rsid w:val="23B55CBA"/>
    <w:rsid w:val="24D01E99"/>
    <w:rsid w:val="25D20CBF"/>
    <w:rsid w:val="25E72447"/>
    <w:rsid w:val="25EB1EB4"/>
    <w:rsid w:val="2605649B"/>
    <w:rsid w:val="26454F03"/>
    <w:rsid w:val="26D001BD"/>
    <w:rsid w:val="2E2C699F"/>
    <w:rsid w:val="2F77084A"/>
    <w:rsid w:val="30CE384C"/>
    <w:rsid w:val="31563C62"/>
    <w:rsid w:val="3185520F"/>
    <w:rsid w:val="34F17207"/>
    <w:rsid w:val="37BBBC3D"/>
    <w:rsid w:val="3A4B10B9"/>
    <w:rsid w:val="3ABE3E90"/>
    <w:rsid w:val="3AFE2407"/>
    <w:rsid w:val="3BD653C3"/>
    <w:rsid w:val="3D39AE03"/>
    <w:rsid w:val="3F6B7AAC"/>
    <w:rsid w:val="3F88276B"/>
    <w:rsid w:val="3FFF2BEB"/>
    <w:rsid w:val="400E6C87"/>
    <w:rsid w:val="40985E3F"/>
    <w:rsid w:val="410A0DB4"/>
    <w:rsid w:val="418B7534"/>
    <w:rsid w:val="44446A78"/>
    <w:rsid w:val="45D97AFA"/>
    <w:rsid w:val="48697AD5"/>
    <w:rsid w:val="4DA30BE0"/>
    <w:rsid w:val="4DFF033E"/>
    <w:rsid w:val="4E642A22"/>
    <w:rsid w:val="4EFA643B"/>
    <w:rsid w:val="5047407B"/>
    <w:rsid w:val="51C53423"/>
    <w:rsid w:val="51CD1F90"/>
    <w:rsid w:val="521A4E0D"/>
    <w:rsid w:val="52A514CA"/>
    <w:rsid w:val="53265B81"/>
    <w:rsid w:val="546937F8"/>
    <w:rsid w:val="54E205B2"/>
    <w:rsid w:val="58A915A7"/>
    <w:rsid w:val="5A9523DF"/>
    <w:rsid w:val="5BFBEDAB"/>
    <w:rsid w:val="5BFFF94D"/>
    <w:rsid w:val="5DE375F8"/>
    <w:rsid w:val="5EAB4BB5"/>
    <w:rsid w:val="5F37B05C"/>
    <w:rsid w:val="5F3B672D"/>
    <w:rsid w:val="5FEEE41D"/>
    <w:rsid w:val="631D4805"/>
    <w:rsid w:val="6426346B"/>
    <w:rsid w:val="64676D1F"/>
    <w:rsid w:val="66AC0430"/>
    <w:rsid w:val="67272704"/>
    <w:rsid w:val="67482D7D"/>
    <w:rsid w:val="67CB2478"/>
    <w:rsid w:val="683878AF"/>
    <w:rsid w:val="6C317E55"/>
    <w:rsid w:val="6EDA18FF"/>
    <w:rsid w:val="6F830302"/>
    <w:rsid w:val="6F9267B6"/>
    <w:rsid w:val="6FE7D63E"/>
    <w:rsid w:val="6FEF680E"/>
    <w:rsid w:val="70166501"/>
    <w:rsid w:val="71F351AB"/>
    <w:rsid w:val="73FFFF0C"/>
    <w:rsid w:val="75CD3D4F"/>
    <w:rsid w:val="76752A34"/>
    <w:rsid w:val="7A734597"/>
    <w:rsid w:val="7BFD1CE4"/>
    <w:rsid w:val="7C377AA3"/>
    <w:rsid w:val="7E533679"/>
    <w:rsid w:val="7EB8E3DA"/>
    <w:rsid w:val="7F5FA35D"/>
    <w:rsid w:val="7FA40DE9"/>
    <w:rsid w:val="8671C434"/>
    <w:rsid w:val="B7BDA8BB"/>
    <w:rsid w:val="DF9FB11A"/>
    <w:rsid w:val="E8DD14D1"/>
    <w:rsid w:val="EEDF7B30"/>
    <w:rsid w:val="EFFD346D"/>
    <w:rsid w:val="FBDBDCF3"/>
    <w:rsid w:val="FBFA5172"/>
    <w:rsid w:val="FE167248"/>
    <w:rsid w:val="FEF73ABE"/>
    <w:rsid w:val="FFFF6051"/>
    <w:rsid w:val="FFFF7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qFormat="1" w:uiPriority="0" w:semiHidden="0" w:name="toc 3"/>
    <w:lsdException w:qFormat="1"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67"/>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spacing w:before="0" w:beforeAutospacing="1" w:after="0" w:afterAutospacing="1"/>
      <w:jc w:val="left"/>
    </w:pPr>
    <w:rPr>
      <w:rFonts w:hint="eastAsia" w:ascii="宋体" w:hAnsi="宋体" w:eastAsia="宋体" w:cs="宋体"/>
      <w:kern w:val="44"/>
      <w:sz w:val="30"/>
      <w:szCs w:val="30"/>
      <w:lang w:val="en-US" w:eastAsia="zh-CN" w:bidi="ar"/>
    </w:rPr>
  </w:style>
  <w:style w:type="paragraph" w:styleId="5">
    <w:name w:val="heading 2"/>
    <w:basedOn w:val="1"/>
    <w:next w:val="1"/>
    <w:unhideWhenUsed/>
    <w:qFormat/>
    <w:uiPriority w:val="0"/>
    <w:pPr>
      <w:keepNext/>
      <w:keepLines/>
      <w:numPr>
        <w:ilvl w:val="1"/>
        <w:numId w:val="1"/>
      </w:numPr>
      <w:spacing w:before="120" w:beforeLines="0" w:after="120" w:afterLines="0" w:line="240" w:lineRule="auto"/>
      <w:ind w:firstLine="0" w:firstLineChars="0"/>
      <w:outlineLvl w:val="1"/>
    </w:pPr>
    <w:rPr>
      <w:rFonts w:hint="eastAsia"/>
      <w:b/>
      <w:sz w:val="36"/>
      <w:szCs w:val="24"/>
    </w:rPr>
  </w:style>
  <w:style w:type="paragraph" w:styleId="6">
    <w:name w:val="heading 3"/>
    <w:basedOn w:val="1"/>
    <w:next w:val="1"/>
    <w:unhideWhenUsed/>
    <w:qFormat/>
    <w:uiPriority w:val="0"/>
    <w:pPr>
      <w:keepNext/>
      <w:keepLines/>
      <w:numPr>
        <w:ilvl w:val="2"/>
        <w:numId w:val="1"/>
      </w:numPr>
      <w:spacing w:before="60" w:beforeLines="0" w:after="60" w:afterLines="0" w:line="240" w:lineRule="auto"/>
      <w:ind w:firstLine="0" w:firstLineChars="0"/>
      <w:outlineLvl w:val="2"/>
    </w:pPr>
    <w:rPr>
      <w:rFonts w:hint="eastAsia"/>
      <w:b/>
      <w:sz w:val="32"/>
      <w:szCs w:val="24"/>
    </w:rPr>
  </w:style>
  <w:style w:type="paragraph" w:styleId="7">
    <w:name w:val="heading 4"/>
    <w:basedOn w:val="1"/>
    <w:next w:val="1"/>
    <w:unhideWhenUsed/>
    <w:qFormat/>
    <w:uiPriority w:val="0"/>
    <w:pPr>
      <w:keepNext/>
      <w:keepLines/>
      <w:numPr>
        <w:ilvl w:val="3"/>
        <w:numId w:val="1"/>
      </w:numPr>
      <w:spacing w:before="60" w:beforeLines="0" w:after="60" w:afterLines="0" w:line="240" w:lineRule="auto"/>
      <w:ind w:firstLine="0" w:firstLineChars="0"/>
      <w:outlineLvl w:val="3"/>
    </w:pPr>
    <w:rPr>
      <w:rFonts w:hint="eastAsia"/>
      <w:b/>
      <w:sz w:val="30"/>
      <w:szCs w:val="24"/>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2">
    <w:name w:val="Body Text Indent"/>
    <w:basedOn w:val="3"/>
    <w:next w:val="3"/>
    <w:qFormat/>
    <w:uiPriority w:val="0"/>
    <w:pPr>
      <w:spacing w:after="120" w:afterLines="0" w:afterAutospacing="0"/>
      <w:ind w:left="420" w:leftChars="200"/>
    </w:pPr>
  </w:style>
  <w:style w:type="paragraph" w:styleId="3">
    <w:name w:val="Normal Indent"/>
    <w:basedOn w:val="1"/>
    <w:qFormat/>
    <w:uiPriority w:val="99"/>
    <w:pPr>
      <w:ind w:firstLine="420" w:firstLineChars="200"/>
    </w:pPr>
    <w:rPr>
      <w:rFonts w:eastAsia="仿宋"/>
      <w:sz w:val="32"/>
    </w:rPr>
  </w:style>
  <w:style w:type="paragraph" w:styleId="8">
    <w:name w:val="table of authorities"/>
    <w:basedOn w:val="1"/>
    <w:next w:val="1"/>
    <w:qFormat/>
    <w:uiPriority w:val="0"/>
    <w:pPr>
      <w:ind w:left="420" w:leftChars="200"/>
    </w:pPr>
    <w:rPr>
      <w:rFonts w:ascii="Times New Roman" w:hAnsi="Times New Roman" w:eastAsia="宋体" w:cs="Times New Roman"/>
      <w:szCs w:val="20"/>
    </w:rPr>
  </w:style>
  <w:style w:type="paragraph" w:styleId="9">
    <w:name w:val="caption"/>
    <w:basedOn w:val="1"/>
    <w:next w:val="1"/>
    <w:qFormat/>
    <w:uiPriority w:val="0"/>
    <w:rPr>
      <w:rFonts w:ascii="Cambria" w:hAnsi="Cambria" w:eastAsia="黑体"/>
      <w:sz w:val="20"/>
      <w:szCs w:val="20"/>
    </w:rPr>
  </w:style>
  <w:style w:type="paragraph" w:styleId="10">
    <w:name w:val="annotation text"/>
    <w:basedOn w:val="1"/>
    <w:qFormat/>
    <w:uiPriority w:val="0"/>
    <w:pPr>
      <w:jc w:val="left"/>
    </w:pPr>
  </w:style>
  <w:style w:type="paragraph" w:styleId="11">
    <w:name w:val="index 6"/>
    <w:basedOn w:val="1"/>
    <w:next w:val="1"/>
    <w:semiHidden/>
    <w:qFormat/>
    <w:uiPriority w:val="99"/>
    <w:pPr>
      <w:ind w:left="2100"/>
    </w:pPr>
  </w:style>
  <w:style w:type="paragraph" w:styleId="12">
    <w:name w:val="Body Text"/>
    <w:basedOn w:val="1"/>
    <w:next w:val="13"/>
    <w:qFormat/>
    <w:uiPriority w:val="0"/>
    <w:pPr>
      <w:spacing w:after="120"/>
    </w:pPr>
    <w:rPr>
      <w:rFonts w:ascii="Times New Roman" w:hAnsi="Times New Roman" w:eastAsia="宋体" w:cs="Times New Roman"/>
    </w:rPr>
  </w:style>
  <w:style w:type="paragraph" w:styleId="13">
    <w:name w:val="Body Text First Indent"/>
    <w:basedOn w:val="12"/>
    <w:next w:val="1"/>
    <w:unhideWhenUsed/>
    <w:qFormat/>
    <w:uiPriority w:val="99"/>
    <w:pPr>
      <w:spacing w:before="100" w:beforeAutospacing="1"/>
      <w:ind w:firstLine="420" w:firstLineChars="100"/>
    </w:pPr>
  </w:style>
  <w:style w:type="paragraph" w:styleId="14">
    <w:name w:val="Block Text"/>
    <w:basedOn w:val="1"/>
    <w:qFormat/>
    <w:uiPriority w:val="0"/>
    <w:pPr>
      <w:ind w:left="1440" w:leftChars="700" w:right="700" w:rightChars="700"/>
    </w:pPr>
  </w:style>
  <w:style w:type="paragraph" w:styleId="15">
    <w:name w:val="toc 3"/>
    <w:basedOn w:val="1"/>
    <w:next w:val="1"/>
    <w:unhideWhenUsed/>
    <w:qFormat/>
    <w:uiPriority w:val="0"/>
    <w:pPr>
      <w:spacing w:beforeLines="0" w:afterLines="0" w:line="240" w:lineRule="auto"/>
      <w:ind w:left="480" w:leftChars="200" w:firstLine="0" w:firstLineChars="0"/>
    </w:pPr>
    <w:rPr>
      <w:rFonts w:hint="eastAsia"/>
      <w:sz w:val="21"/>
      <w:szCs w:val="24"/>
    </w:rPr>
  </w:style>
  <w:style w:type="paragraph" w:styleId="16">
    <w:name w:val="Plain Text"/>
    <w:basedOn w:val="1"/>
    <w:next w:val="17"/>
    <w:qFormat/>
    <w:uiPriority w:val="0"/>
    <w:rPr>
      <w:rFonts w:ascii="仿宋" w:hAnsi="Courier New" w:eastAsia="仿宋" w:cs="Courier New"/>
      <w:sz w:val="32"/>
      <w:szCs w:val="21"/>
    </w:rPr>
  </w:style>
  <w:style w:type="paragraph" w:styleId="17">
    <w:name w:val="header"/>
    <w:basedOn w:val="1"/>
    <w:next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footer"/>
    <w:basedOn w:val="1"/>
    <w:next w:val="19"/>
    <w:qFormat/>
    <w:uiPriority w:val="0"/>
    <w:pPr>
      <w:tabs>
        <w:tab w:val="center" w:pos="4153"/>
        <w:tab w:val="right" w:pos="8306"/>
      </w:tabs>
      <w:snapToGrid w:val="0"/>
      <w:jc w:val="left"/>
    </w:pPr>
    <w:rPr>
      <w:sz w:val="18"/>
    </w:rPr>
  </w:style>
  <w:style w:type="paragraph" w:styleId="19">
    <w:name w:val="Normal (Web)"/>
    <w:basedOn w:val="1"/>
    <w:next w:val="20"/>
    <w:autoRedefine/>
    <w:qFormat/>
    <w:uiPriority w:val="0"/>
    <w:pPr>
      <w:spacing w:before="0" w:beforeAutospacing="1" w:after="0" w:afterAutospacing="1"/>
      <w:ind w:left="0" w:right="0"/>
      <w:jc w:val="left"/>
    </w:pPr>
    <w:rPr>
      <w:kern w:val="0"/>
      <w:sz w:val="24"/>
      <w:lang w:val="en-US" w:eastAsia="zh-CN" w:bidi="ar"/>
    </w:rPr>
  </w:style>
  <w:style w:type="paragraph" w:customStyle="1" w:styleId="20">
    <w:name w:val="toc 84"/>
    <w:next w:val="1"/>
    <w:autoRedefine/>
    <w:qFormat/>
    <w:uiPriority w:val="0"/>
    <w:pPr>
      <w:wordWrap w:val="0"/>
      <w:ind w:left="2975"/>
      <w:jc w:val="both"/>
    </w:pPr>
    <w:rPr>
      <w:rFonts w:ascii="宋体" w:hAnsi="宋体" w:eastAsia="Calibri" w:cs="Times New Roman"/>
      <w:sz w:val="21"/>
      <w:szCs w:val="22"/>
      <w:lang w:val="en-US" w:eastAsia="zh-CN" w:bidi="ar-SA"/>
    </w:rPr>
  </w:style>
  <w:style w:type="paragraph" w:styleId="21">
    <w:name w:val="toc 1"/>
    <w:basedOn w:val="1"/>
    <w:next w:val="1"/>
    <w:autoRedefine/>
    <w:unhideWhenUsed/>
    <w:qFormat/>
    <w:uiPriority w:val="0"/>
    <w:pPr>
      <w:spacing w:beforeLines="0" w:afterLines="0" w:line="240" w:lineRule="auto"/>
      <w:ind w:firstLine="0" w:firstLineChars="0"/>
    </w:pPr>
    <w:rPr>
      <w:rFonts w:hint="eastAsia"/>
      <w:b/>
      <w:sz w:val="28"/>
      <w:szCs w:val="24"/>
    </w:rPr>
  </w:style>
  <w:style w:type="paragraph" w:styleId="22">
    <w:name w:val="toc 4"/>
    <w:basedOn w:val="1"/>
    <w:next w:val="1"/>
    <w:autoRedefine/>
    <w:unhideWhenUsed/>
    <w:qFormat/>
    <w:uiPriority w:val="0"/>
    <w:pPr>
      <w:spacing w:beforeLines="0" w:afterLines="0" w:line="240" w:lineRule="auto"/>
      <w:ind w:left="720" w:leftChars="300" w:firstLine="0" w:firstLineChars="0"/>
    </w:pPr>
    <w:rPr>
      <w:rFonts w:hint="eastAsia"/>
      <w:sz w:val="21"/>
      <w:szCs w:val="24"/>
    </w:rPr>
  </w:style>
  <w:style w:type="paragraph" w:styleId="23">
    <w:name w:val="footnote text"/>
    <w:basedOn w:val="1"/>
    <w:autoRedefine/>
    <w:qFormat/>
    <w:uiPriority w:val="0"/>
    <w:pPr>
      <w:snapToGrid w:val="0"/>
      <w:jc w:val="left"/>
    </w:pPr>
    <w:rPr>
      <w:sz w:val="18"/>
      <w:szCs w:val="18"/>
    </w:rPr>
  </w:style>
  <w:style w:type="paragraph" w:styleId="24">
    <w:name w:val="toc 2"/>
    <w:basedOn w:val="1"/>
    <w:next w:val="1"/>
    <w:autoRedefine/>
    <w:unhideWhenUsed/>
    <w:qFormat/>
    <w:uiPriority w:val="0"/>
    <w:pPr>
      <w:spacing w:beforeLines="0" w:afterLines="0" w:line="240" w:lineRule="auto"/>
      <w:ind w:left="240" w:leftChars="100" w:firstLine="0" w:firstLineChars="0"/>
    </w:pPr>
    <w:rPr>
      <w:rFonts w:hint="eastAsia"/>
      <w:sz w:val="21"/>
      <w:szCs w:val="24"/>
    </w:rPr>
  </w:style>
  <w:style w:type="paragraph" w:styleId="25">
    <w:name w:val="Body Text First Indent 2"/>
    <w:basedOn w:val="2"/>
    <w:next w:val="11"/>
    <w:qFormat/>
    <w:uiPriority w:val="0"/>
    <w:pPr>
      <w:ind w:firstLine="420" w:firstLineChars="20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rPr>
  </w:style>
  <w:style w:type="character" w:styleId="30">
    <w:name w:val="FollowedHyperlink"/>
    <w:basedOn w:val="28"/>
    <w:autoRedefine/>
    <w:qFormat/>
    <w:uiPriority w:val="0"/>
    <w:rPr>
      <w:color w:val="333333"/>
      <w:u w:val="none"/>
    </w:rPr>
  </w:style>
  <w:style w:type="character" w:styleId="31">
    <w:name w:val="HTML Definition"/>
    <w:basedOn w:val="28"/>
    <w:autoRedefine/>
    <w:qFormat/>
    <w:uiPriority w:val="0"/>
    <w:rPr>
      <w:i/>
    </w:rPr>
  </w:style>
  <w:style w:type="character" w:styleId="32">
    <w:name w:val="HTML Acronym"/>
    <w:basedOn w:val="28"/>
    <w:autoRedefine/>
    <w:qFormat/>
    <w:uiPriority w:val="0"/>
  </w:style>
  <w:style w:type="character" w:styleId="33">
    <w:name w:val="Hyperlink"/>
    <w:basedOn w:val="28"/>
    <w:autoRedefine/>
    <w:qFormat/>
    <w:uiPriority w:val="0"/>
    <w:rPr>
      <w:color w:val="333333"/>
      <w:u w:val="none"/>
    </w:rPr>
  </w:style>
  <w:style w:type="character" w:styleId="34">
    <w:name w:val="HTML Code"/>
    <w:basedOn w:val="28"/>
    <w:autoRedefine/>
    <w:qFormat/>
    <w:uiPriority w:val="0"/>
    <w:rPr>
      <w:rFonts w:ascii="Consolas" w:hAnsi="Consolas" w:eastAsia="Consolas" w:cs="Consolas"/>
      <w:color w:val="C7254E"/>
      <w:sz w:val="21"/>
      <w:szCs w:val="21"/>
      <w:shd w:val="clear" w:fill="F9F2F4"/>
    </w:rPr>
  </w:style>
  <w:style w:type="character" w:styleId="35">
    <w:name w:val="HTML Keyboard"/>
    <w:basedOn w:val="28"/>
    <w:autoRedefine/>
    <w:qFormat/>
    <w:uiPriority w:val="0"/>
    <w:rPr>
      <w:rFonts w:hint="default" w:ascii="Consolas" w:hAnsi="Consolas" w:eastAsia="Consolas" w:cs="Consolas"/>
      <w:color w:val="FFFFFF"/>
      <w:sz w:val="21"/>
      <w:szCs w:val="21"/>
      <w:shd w:val="clear" w:fill="333333"/>
    </w:rPr>
  </w:style>
  <w:style w:type="character" w:styleId="36">
    <w:name w:val="HTML Sample"/>
    <w:basedOn w:val="28"/>
    <w:autoRedefine/>
    <w:qFormat/>
    <w:uiPriority w:val="0"/>
    <w:rPr>
      <w:rFonts w:hint="default" w:ascii="Consolas" w:hAnsi="Consolas" w:eastAsia="Consolas" w:cs="Consolas"/>
      <w:sz w:val="21"/>
      <w:szCs w:val="21"/>
    </w:rPr>
  </w:style>
  <w:style w:type="character" w:customStyle="1" w:styleId="37">
    <w:name w:val="msg-box24"/>
    <w:basedOn w:val="28"/>
    <w:autoRedefine/>
    <w:qFormat/>
    <w:uiPriority w:val="0"/>
  </w:style>
  <w:style w:type="character" w:customStyle="1" w:styleId="38">
    <w:name w:val="tit2"/>
    <w:basedOn w:val="28"/>
    <w:autoRedefine/>
    <w:qFormat/>
    <w:uiPriority w:val="0"/>
    <w:rPr>
      <w:b/>
      <w:color w:val="333333"/>
      <w:sz w:val="24"/>
      <w:szCs w:val="24"/>
    </w:rPr>
  </w:style>
  <w:style w:type="character" w:customStyle="1" w:styleId="39">
    <w:name w:val="tit3"/>
    <w:basedOn w:val="28"/>
    <w:autoRedefine/>
    <w:qFormat/>
    <w:uiPriority w:val="0"/>
    <w:rPr>
      <w:bdr w:val="single" w:color="D9D9D9" w:sz="6" w:space="0"/>
    </w:rPr>
  </w:style>
  <w:style w:type="character" w:customStyle="1" w:styleId="40">
    <w:name w:val="tit4"/>
    <w:basedOn w:val="28"/>
    <w:autoRedefine/>
    <w:qFormat/>
    <w:uiPriority w:val="0"/>
    <w:rPr>
      <w:color w:val="2E6EAB"/>
    </w:rPr>
  </w:style>
  <w:style w:type="character" w:customStyle="1" w:styleId="41">
    <w:name w:val="datetime"/>
    <w:basedOn w:val="28"/>
    <w:autoRedefine/>
    <w:qFormat/>
    <w:uiPriority w:val="0"/>
    <w:rPr>
      <w:rFonts w:ascii="Arial" w:hAnsi="Arial" w:cs="Arial"/>
      <w:color w:val="999999"/>
      <w:sz w:val="21"/>
      <w:szCs w:val="21"/>
    </w:rPr>
  </w:style>
  <w:style w:type="character" w:customStyle="1" w:styleId="42">
    <w:name w:val="ico"/>
    <w:basedOn w:val="28"/>
    <w:autoRedefine/>
    <w:qFormat/>
    <w:uiPriority w:val="0"/>
  </w:style>
  <w:style w:type="character" w:customStyle="1" w:styleId="43">
    <w:name w:val="ico1"/>
    <w:basedOn w:val="28"/>
    <w:autoRedefine/>
    <w:qFormat/>
    <w:uiPriority w:val="0"/>
  </w:style>
  <w:style w:type="character" w:customStyle="1" w:styleId="44">
    <w:name w:val="ico2"/>
    <w:basedOn w:val="28"/>
    <w:autoRedefine/>
    <w:qFormat/>
    <w:uiPriority w:val="0"/>
  </w:style>
  <w:style w:type="character" w:customStyle="1" w:styleId="45">
    <w:name w:val="ico3"/>
    <w:basedOn w:val="28"/>
    <w:autoRedefine/>
    <w:qFormat/>
    <w:uiPriority w:val="0"/>
  </w:style>
  <w:style w:type="character" w:customStyle="1" w:styleId="46">
    <w:name w:val="ico4"/>
    <w:basedOn w:val="28"/>
    <w:autoRedefine/>
    <w:qFormat/>
    <w:uiPriority w:val="0"/>
  </w:style>
  <w:style w:type="character" w:customStyle="1" w:styleId="47">
    <w:name w:val="ico5"/>
    <w:basedOn w:val="28"/>
    <w:autoRedefine/>
    <w:qFormat/>
    <w:uiPriority w:val="0"/>
  </w:style>
  <w:style w:type="character" w:customStyle="1" w:styleId="48">
    <w:name w:val="ico6"/>
    <w:basedOn w:val="28"/>
    <w:autoRedefine/>
    <w:qFormat/>
    <w:uiPriority w:val="0"/>
  </w:style>
  <w:style w:type="character" w:customStyle="1" w:styleId="49">
    <w:name w:val="ico7"/>
    <w:basedOn w:val="28"/>
    <w:autoRedefine/>
    <w:qFormat/>
    <w:uiPriority w:val="0"/>
  </w:style>
  <w:style w:type="character" w:customStyle="1" w:styleId="50">
    <w:name w:val="ico8"/>
    <w:basedOn w:val="28"/>
    <w:autoRedefine/>
    <w:qFormat/>
    <w:uiPriority w:val="0"/>
  </w:style>
  <w:style w:type="character" w:customStyle="1" w:styleId="51">
    <w:name w:val="ico9"/>
    <w:basedOn w:val="28"/>
    <w:autoRedefine/>
    <w:qFormat/>
    <w:uiPriority w:val="0"/>
  </w:style>
  <w:style w:type="character" w:customStyle="1" w:styleId="52">
    <w:name w:val="ico10"/>
    <w:basedOn w:val="28"/>
    <w:autoRedefine/>
    <w:qFormat/>
    <w:uiPriority w:val="0"/>
  </w:style>
  <w:style w:type="character" w:customStyle="1" w:styleId="53">
    <w:name w:val="ico11"/>
    <w:basedOn w:val="28"/>
    <w:autoRedefine/>
    <w:qFormat/>
    <w:uiPriority w:val="0"/>
  </w:style>
  <w:style w:type="character" w:customStyle="1" w:styleId="54">
    <w:name w:val="ico12"/>
    <w:basedOn w:val="28"/>
    <w:qFormat/>
    <w:uiPriority w:val="0"/>
  </w:style>
  <w:style w:type="character" w:customStyle="1" w:styleId="55">
    <w:name w:val="ico13"/>
    <w:basedOn w:val="28"/>
    <w:autoRedefine/>
    <w:qFormat/>
    <w:uiPriority w:val="0"/>
  </w:style>
  <w:style w:type="character" w:customStyle="1" w:styleId="56">
    <w:name w:val="img_title4"/>
    <w:basedOn w:val="28"/>
    <w:autoRedefine/>
    <w:qFormat/>
    <w:uiPriority w:val="0"/>
    <w:rPr>
      <w:color w:val="FFFFFF"/>
      <w:sz w:val="18"/>
      <w:szCs w:val="18"/>
    </w:rPr>
  </w:style>
  <w:style w:type="character" w:customStyle="1" w:styleId="57">
    <w:name w:val="buvis"/>
    <w:basedOn w:val="28"/>
    <w:autoRedefine/>
    <w:qFormat/>
    <w:uiPriority w:val="0"/>
    <w:rPr>
      <w:color w:val="999999"/>
    </w:rPr>
  </w:style>
  <w:style w:type="character" w:customStyle="1" w:styleId="58">
    <w:name w:val="buvis1"/>
    <w:basedOn w:val="28"/>
    <w:autoRedefine/>
    <w:qFormat/>
    <w:uiPriority w:val="0"/>
    <w:rPr>
      <w:color w:val="CC0000"/>
    </w:rPr>
  </w:style>
  <w:style w:type="character" w:customStyle="1" w:styleId="59">
    <w:name w:val="c1"/>
    <w:basedOn w:val="28"/>
    <w:autoRedefine/>
    <w:qFormat/>
    <w:uiPriority w:val="0"/>
  </w:style>
  <w:style w:type="character" w:customStyle="1" w:styleId="60">
    <w:name w:val="c3"/>
    <w:basedOn w:val="28"/>
    <w:autoRedefine/>
    <w:qFormat/>
    <w:uiPriority w:val="0"/>
  </w:style>
  <w:style w:type="character" w:customStyle="1" w:styleId="61">
    <w:name w:val="c2"/>
    <w:basedOn w:val="28"/>
    <w:autoRedefine/>
    <w:qFormat/>
    <w:uiPriority w:val="0"/>
  </w:style>
  <w:style w:type="character" w:customStyle="1" w:styleId="62">
    <w:name w:val="tit"/>
    <w:basedOn w:val="28"/>
    <w:autoRedefine/>
    <w:qFormat/>
    <w:uiPriority w:val="0"/>
    <w:rPr>
      <w:b/>
      <w:color w:val="333333"/>
      <w:sz w:val="24"/>
      <w:szCs w:val="24"/>
    </w:rPr>
  </w:style>
  <w:style w:type="character" w:customStyle="1" w:styleId="63">
    <w:name w:val="tit1"/>
    <w:basedOn w:val="28"/>
    <w:autoRedefine/>
    <w:qFormat/>
    <w:uiPriority w:val="0"/>
    <w:rPr>
      <w:bdr w:val="single" w:color="D9D9D9" w:sz="6" w:space="0"/>
    </w:rPr>
  </w:style>
  <w:style w:type="character" w:customStyle="1" w:styleId="64">
    <w:name w:val="img_title"/>
    <w:basedOn w:val="28"/>
    <w:autoRedefine/>
    <w:qFormat/>
    <w:uiPriority w:val="0"/>
    <w:rPr>
      <w:color w:val="FFFFFF"/>
      <w:sz w:val="18"/>
      <w:szCs w:val="18"/>
    </w:rPr>
  </w:style>
  <w:style w:type="paragraph" w:customStyle="1" w:styleId="65">
    <w:name w:val="Normal (Web)"/>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66">
    <w:name w:val="UserStyle_0"/>
    <w:basedOn w:val="1"/>
    <w:next w:val="1"/>
    <w:autoRedefine/>
    <w:qFormat/>
    <w:uiPriority w:val="0"/>
    <w:pPr>
      <w:textAlignment w:val="baseline"/>
    </w:pPr>
    <w:rPr>
      <w:rFonts w:ascii="宋体" w:hAnsi="Courier New" w:eastAsia="宋体"/>
      <w:sz w:val="21"/>
      <w:szCs w:val="21"/>
    </w:rPr>
  </w:style>
  <w:style w:type="character" w:customStyle="1" w:styleId="67">
    <w:name w:val="NormalCharacter"/>
    <w:link w:val="1"/>
    <w:autoRedefine/>
    <w:qFormat/>
    <w:uiPriority w:val="0"/>
    <w:rPr>
      <w:rFonts w:asciiTheme="minorHAnsi" w:hAnsiTheme="minorHAnsi" w:eastAsiaTheme="minorEastAsia" w:cstheme="minorBidi"/>
      <w:kern w:val="2"/>
      <w:sz w:val="21"/>
      <w:szCs w:val="24"/>
      <w:lang w:val="en-US" w:eastAsia="zh-CN" w:bidi="ar-SA"/>
    </w:rPr>
  </w:style>
  <w:style w:type="paragraph" w:customStyle="1" w:styleId="68">
    <w:name w:val="p18"/>
    <w:basedOn w:val="1"/>
    <w:autoRedefine/>
    <w:qFormat/>
    <w:uiPriority w:val="99"/>
    <w:pPr>
      <w:widowControl/>
    </w:pPr>
    <w:rPr>
      <w:rFonts w:ascii="Times New Roman" w:hAnsi="Times New Roman" w:cs="Times New Roman"/>
      <w:kern w:val="0"/>
    </w:rPr>
  </w:style>
  <w:style w:type="paragraph" w:customStyle="1" w:styleId="69">
    <w:name w:val="00封面-编制单位名称"/>
    <w:autoRedefine/>
    <w:unhideWhenUsed/>
    <w:qFormat/>
    <w:uiPriority w:val="0"/>
    <w:pPr>
      <w:adjustRightInd w:val="0"/>
      <w:snapToGrid w:val="0"/>
      <w:spacing w:line="360" w:lineRule="auto"/>
      <w:jc w:val="center"/>
    </w:pPr>
    <w:rPr>
      <w:rFonts w:hint="eastAsia" w:ascii="Times New Roman" w:hAnsi="Times New Roman" w:eastAsia="Times New Roman" w:cs="Times New Roman"/>
      <w:color w:val="000000"/>
      <w:sz w:val="30"/>
      <w:szCs w:val="24"/>
    </w:rPr>
  </w:style>
  <w:style w:type="paragraph" w:customStyle="1" w:styleId="70">
    <w:name w:val="表格"/>
    <w:basedOn w:val="1"/>
    <w:autoRedefine/>
    <w:unhideWhenUsed/>
    <w:qFormat/>
    <w:uiPriority w:val="0"/>
    <w:pPr>
      <w:spacing w:beforeLines="0" w:afterLines="0" w:line="240" w:lineRule="auto"/>
      <w:ind w:firstLine="0" w:firstLineChars="0"/>
      <w:jc w:val="center"/>
    </w:pPr>
    <w:rPr>
      <w:rFonts w:hint="eastAsia"/>
      <w:sz w:val="21"/>
      <w:szCs w:val="24"/>
    </w:rPr>
  </w:style>
  <w:style w:type="character" w:customStyle="1" w:styleId="71">
    <w:name w:val="font11"/>
    <w:basedOn w:val="28"/>
    <w:qFormat/>
    <w:uiPriority w:val="0"/>
    <w:rPr>
      <w:rFonts w:hint="eastAsia" w:ascii="仿宋_GB2312" w:hAnsi="Calibri" w:eastAsia="仿宋_GB2312" w:cs="仿宋_GB2312"/>
      <w:color w:val="000000"/>
      <w:sz w:val="24"/>
      <w:szCs w:val="24"/>
      <w:u w:val="none"/>
    </w:rPr>
  </w:style>
  <w:style w:type="paragraph" w:styleId="72">
    <w:name w:val="List Paragraph"/>
    <w:basedOn w:val="1"/>
    <w:autoRedefine/>
    <w:qFormat/>
    <w:uiPriority w:val="1"/>
    <w:pPr>
      <w:spacing w:before="8"/>
      <w:ind w:left="229" w:right="103" w:firstLine="626"/>
    </w:pPr>
    <w:rPr>
      <w:rFonts w:ascii="仿宋" w:hAnsi="仿宋" w:eastAsia="仿宋" w:cs="仿宋"/>
      <w:lang w:val="zh-CN" w:bidi="zh-CN"/>
    </w:rPr>
  </w:style>
  <w:style w:type="paragraph" w:customStyle="1" w:styleId="73">
    <w:name w:val="p0"/>
    <w:basedOn w:val="1"/>
    <w:autoRedefine/>
    <w:qFormat/>
    <w:uiPriority w:val="0"/>
    <w:pPr>
      <w:widowControl/>
    </w:pPr>
    <w:rPr>
      <w:kern w:val="0"/>
      <w:szCs w:val="21"/>
    </w:rPr>
  </w:style>
  <w:style w:type="character" w:customStyle="1" w:styleId="74">
    <w:name w:val="font31"/>
    <w:basedOn w:val="28"/>
    <w:autoRedefine/>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2020-11-12T16:18:00Z</dcterms:created>
  <dc:creator>Administrator.PC-20120726QKYK</dc:creator>
  <cp:lastModifiedBy>呵呵呵</cp:lastModifiedBy>
  <dcterms:modified xsi:type="dcterms:W3CDTF">2024-01-29T02:50:47Z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FE83E504FEC147E18202DA8D9C45D9B0_12</vt:lpwstr>
  </property>
</Properties>
</file>