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B2B2B"/>
          <w:kern w:val="0"/>
          <w:sz w:val="44"/>
          <w:szCs w:val="44"/>
          <w:u w:val="none"/>
          <w:lang w:val="en-US" w:eastAsia="zh-CN" w:bidi="ar"/>
        </w:rPr>
        <w:t>陈坊乡2017年政府信息公开年度报告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本年度报告根据《中华人民共和国政府信息公开条例》（以下简称《条例》）和省、市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政务公开工作要求，由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铅山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陈坊乡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人民政府编制。全文包括概述、</w:t>
      </w:r>
      <w:r>
        <w:rPr>
          <w:rFonts w:ascii="仿宋" w:hAnsi="仿宋" w:eastAsia="仿宋"/>
          <w:b w:val="0"/>
          <w:bCs w:val="0"/>
          <w:snapToGrid w:val="0"/>
          <w:sz w:val="32"/>
          <w:szCs w:val="32"/>
        </w:rPr>
        <w:t>行政机关依申请公开政府信息和不予公开政府信息的情</w:t>
      </w:r>
      <w:r>
        <w:rPr>
          <w:rFonts w:ascii="仿宋" w:hAnsi="仿宋" w:eastAsia="仿宋"/>
          <w:b w:val="0"/>
          <w:bCs w:val="0"/>
          <w:snapToGrid w:val="0"/>
          <w:sz w:val="32"/>
          <w:szCs w:val="32"/>
          <w:lang w:eastAsia="zh-CN"/>
        </w:rPr>
        <w:t>况</w:t>
      </w:r>
      <w:r>
        <w:rPr>
          <w:rFonts w:hint="eastAsia" w:ascii="仿宋" w:hAnsi="仿宋" w:eastAsia="仿宋"/>
          <w:b w:val="0"/>
          <w:bCs w:val="0"/>
          <w:snapToGrid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snapToGrid w:val="0"/>
          <w:sz w:val="32"/>
          <w:szCs w:val="32"/>
        </w:rPr>
        <w:t>政府信息公开的收费及减免情况</w:t>
      </w:r>
      <w:r>
        <w:rPr>
          <w:rFonts w:hint="eastAsia" w:ascii="仿宋" w:hAnsi="仿宋" w:eastAsia="仿宋"/>
          <w:b w:val="0"/>
          <w:bCs w:val="0"/>
          <w:snapToGrid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snapToGrid w:val="0"/>
          <w:sz w:val="32"/>
          <w:szCs w:val="32"/>
        </w:rPr>
        <w:t>因政府信息公开申请行政复议</w:t>
      </w:r>
      <w:r>
        <w:rPr>
          <w:rFonts w:hint="eastAsia" w:ascii="仿宋" w:hAnsi="仿宋" w:eastAsia="仿宋"/>
          <w:b w:val="0"/>
          <w:bCs w:val="0"/>
          <w:snapToGrid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snapToGrid w:val="0"/>
          <w:sz w:val="32"/>
          <w:szCs w:val="32"/>
        </w:rPr>
        <w:t>提起行政诉讼的情况</w:t>
      </w:r>
      <w:r>
        <w:rPr>
          <w:rFonts w:hint="eastAsia" w:ascii="仿宋" w:hAnsi="仿宋" w:eastAsia="仿宋"/>
          <w:b w:val="0"/>
          <w:bCs w:val="0"/>
          <w:snapToGrid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snapToGrid w:val="0"/>
          <w:sz w:val="32"/>
          <w:szCs w:val="32"/>
        </w:rPr>
        <w:t>政府信息公开工作存在的主要问题及改进情况</w:t>
      </w:r>
      <w:r>
        <w:rPr>
          <w:rFonts w:hint="eastAsia" w:ascii="仿宋" w:hAnsi="仿宋" w:eastAsia="仿宋"/>
          <w:b w:val="0"/>
          <w:bCs w:val="0"/>
          <w:snapToGrid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snapToGrid w:val="0"/>
          <w:sz w:val="32"/>
          <w:szCs w:val="32"/>
        </w:rPr>
        <w:t>其他需要报告的事项</w:t>
      </w:r>
      <w:r>
        <w:rPr>
          <w:rFonts w:hint="eastAsia" w:ascii="仿宋" w:hAnsi="仿宋" w:eastAsia="仿宋"/>
          <w:b w:val="0"/>
          <w:bCs w:val="0"/>
          <w:snapToGrid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以及存在的主要问题和改进措施等。本年度报告的电子版可在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陈坊乡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政府网站上下载。如对本年度报告有疑问，请联系：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陈坊乡党政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办公室，电话：07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5125018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2017年，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陈坊乡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认真贯彻执行《条例》，按照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铅山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县信息公开要求，积极做好职责范围内的政府信息公开工作，加强信息公开渠道建设，建立健全长效机制，推动办事公开工作不断深化。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我乡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特色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信息公开进一步规范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。政府网站做到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及时进行信息公开，按照规范要求落实到位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（2）公开形式更加新颖。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陈坊乡通过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微信号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进行多渠道信息公开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。以更快更丰富的形式公开政府相关信息。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（3）信息公开工作与2017年的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政府工作协调一致。今年以来我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秀美乡村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、新农村建设、民居改造、财政预决算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等都通过信息公开的形式向外界公告。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(一)组织机构建设：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为深入贯彻落实《条例》，进一步推进我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信息公开工作，我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结合政府部门实际，认真组织实施，规范政府信息公开工作。为加强信息公开工作的领导，我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成立了以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党委副书记、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吴丽辉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为组长的政府信息公开领导小组，明确了全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政府信息公开工作的组织领导体制和工作职责，确定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党政办是全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政府信息公开工作的主要部门，负责推进、协调、监督全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的政府信息公开工作，确定了党政办公室的专人负责政府信息公开工作，负责对政府信息公开保密审查工作进行监督和指导。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（二）严格公开程序：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依据《保守国家秘密法》和《条例》等有关法律法规的规定，界定应当公开和不能公开的政府信息。按照《指南》和《目录》、样本格式和内容，编制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陈坊乡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政府信息《公开指南》和《公开目录》。按规定，将信息分为主动公开和依申请公开两个部分。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（三）落实和制定相关配套措施：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2017年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陈坊乡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政府信息公开工作在积极探索、大胆创新的前提下，结合政府部门工作实际，深化信息公开内容、建立和完善各项制度、规范公开载体形式、加强基础性建设工作等方面取得了进展。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1.由党政办公室统筹，各站所配合做好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政府的信息公开工作。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2.落实了政府信息公开监督考核和奖惩制度，并认真组织实施，促进全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政务公开工作和政府信息公开工作规范有序、有条不紊地进行。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3.政府信息公开多样化：不仅包括政府网站公开与微信公开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，内容也更加多样化，学校周边，街道乡村都纳入公开范围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（四）认真组织学习《政府信息公开条例》：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领导十分重视政府信息公开工作，为做好政府信息公开工作，使工作人员对《政府信息公开条例》更多了解，我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政府信息公开工作人员积极参加了相关的培训，学习《政府信息公开条例》，进一步提高业务水平，做好政府信息服务。并在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内对全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干部职工开展信息公开与保密的知识的宣传与相关业务内容培训。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napToGrid w:val="0"/>
          <w:sz w:val="32"/>
          <w:szCs w:val="32"/>
        </w:rPr>
        <w:t>行政机关主动公开政府信息的情况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(一)本机关主动公开政府信息的数量：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2017年，全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政府信息总数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734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条，全文电子化的主动公开政府信息数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734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条，其中，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政务动态信息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734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包含政务运行情况、日常重要事务处理、各类会议召开情况、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安全生产、应急管理类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等各类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(二)主动公开政府信息的主要类别情况：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机构职能类信息、民政、扶贫、救灾、社会保险、就业类信息、文科类。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(三)信息公开的形式：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采取多渠道的政府信息公开形式，包括政府门户网站、政务公开栏、宣传栏、微信公众号等。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、行政机关依申请公开政府信息和不予公开政府信息的情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本年度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依申请公开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2016年度陈坊乡部门决算及2017年陈坊乡部门预算说明；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无依申请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四、政府信息公开的收费及减免情况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年底公开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铅山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县城乡医保收费标准180元每人。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五、因政府信息公开申请行政复议、提起行政诉讼的情况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本年度无因政府信息公开申请行政复议、提起行政诉讼的情况。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政府信息公开主要存在以下问题有待改进：一是全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干部职工对政府信息公开意识强弱不一，认识有待进一步提高；二是信息公开内容广度和深度还不够；三是信息公开形式有待拓展。为此我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下一步工作重点：一是加强信息联络人的衔接与沟通，努力将收集与信息公开同步进行，确保信息公开及时、准确、全面；二是加强对信息联络员的培训，着力提高机关工作人员信息公开意识，开展多种形式的交流，开阔工作人员视野，加强信息内容提炼和升华；三是通过增加公开栏等形式丰富政府信息公开渠道，积极探索新措施、新方法，丰富形式，创新手段。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其他需要报告事项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　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" w:hAnsi="楷体" w:eastAsia="楷体" w:cs="楷体"/>
          <w:snapToGrid w:val="0"/>
          <w:sz w:val="32"/>
          <w:szCs w:val="32"/>
        </w:rPr>
      </w:pPr>
      <w:r>
        <w:rPr>
          <w:rFonts w:hint="eastAsia" w:ascii="楷体" w:hAnsi="楷体" w:eastAsia="楷体" w:cs="楷体"/>
          <w:snapToGrid w:val="0"/>
          <w:sz w:val="32"/>
          <w:szCs w:val="32"/>
        </w:rPr>
        <w:t>《江西省人民政府办公厅关于印发</w:t>
      </w: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2017</w:t>
      </w:r>
      <w:r>
        <w:rPr>
          <w:rFonts w:hint="eastAsia" w:ascii="楷体" w:hAnsi="楷体" w:eastAsia="楷体" w:cs="楷体"/>
          <w:snapToGrid w:val="0"/>
          <w:sz w:val="32"/>
          <w:szCs w:val="32"/>
        </w:rPr>
        <w:t>年全省政务公开工作安排的通知》（赣府厅字〔</w:t>
      </w: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2017</w:t>
      </w:r>
      <w:r>
        <w:rPr>
          <w:rFonts w:hint="eastAsia" w:ascii="楷体" w:hAnsi="楷体" w:eastAsia="楷体" w:cs="楷体"/>
          <w:snapToGrid w:val="0"/>
          <w:sz w:val="32"/>
          <w:szCs w:val="32"/>
        </w:rPr>
        <w:t>〕</w:t>
      </w:r>
      <w:r>
        <w:rPr>
          <w:rFonts w:hint="eastAsia" w:ascii="楷体" w:hAnsi="楷体" w:eastAsia="楷体" w:cs="楷体"/>
          <w:b/>
          <w:snapToGrid w:val="0"/>
          <w:sz w:val="32"/>
          <w:szCs w:val="32"/>
        </w:rPr>
        <w:t>50</w:t>
      </w:r>
      <w:r>
        <w:rPr>
          <w:rFonts w:hint="eastAsia" w:ascii="楷体" w:hAnsi="楷体" w:eastAsia="楷体" w:cs="楷体"/>
          <w:snapToGrid w:val="0"/>
          <w:sz w:val="32"/>
          <w:szCs w:val="32"/>
        </w:rPr>
        <w:t>号）的贯彻落实情况。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我乡严格按照文件要求，落实政府信息公开制度。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楷体" w:hAnsi="楷体" w:eastAsia="楷体" w:cs="楷体"/>
          <w:snapToGrid w:val="0"/>
          <w:sz w:val="32"/>
          <w:szCs w:val="32"/>
        </w:rPr>
      </w:pPr>
      <w:r>
        <w:rPr>
          <w:rFonts w:hint="eastAsia" w:ascii="楷体" w:hAnsi="楷体" w:eastAsia="楷体" w:cs="楷体"/>
          <w:snapToGrid w:val="0"/>
          <w:sz w:val="32"/>
          <w:szCs w:val="32"/>
        </w:rPr>
        <w:t>人大代表建议和政协委员提案办理结果公开情况。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我乡本年度无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人大代表建议和政协委员提案办理结果公开情况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Chars="200" w:right="0" w:rightChars="0" w:firstLine="320" w:firstLineChars="1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snapToGrid w:val="0"/>
          <w:sz w:val="32"/>
          <w:szCs w:val="32"/>
        </w:rPr>
        <w:t>(</w:t>
      </w:r>
      <w:r>
        <w:rPr>
          <w:rFonts w:hint="eastAsia" w:ascii="楷体" w:hAnsi="楷体" w:eastAsia="楷体" w:cs="楷体"/>
          <w:snapToGrid w:val="0"/>
          <w:sz w:val="32"/>
          <w:szCs w:val="32"/>
          <w:lang w:eastAsia="zh-CN"/>
        </w:rPr>
        <w:t>三)</w:t>
      </w:r>
      <w:r>
        <w:rPr>
          <w:rFonts w:hint="eastAsia" w:ascii="楷体" w:hAnsi="楷体" w:eastAsia="楷体" w:cs="楷体"/>
          <w:snapToGrid w:val="0"/>
          <w:sz w:val="32"/>
          <w:szCs w:val="32"/>
        </w:rPr>
        <w:t>填写《政府信息公开情况统计表》</w:t>
      </w:r>
      <w:r>
        <w:rPr>
          <w:rFonts w:hint="eastAsia" w:ascii="楷体" w:hAnsi="楷体" w:eastAsia="楷体" w:cs="楷体"/>
          <w:snapToGrid w:val="0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napToGrid w:val="0"/>
          <w:sz w:val="32"/>
          <w:szCs w:val="32"/>
        </w:rPr>
        <w:t>见附件</w:t>
      </w:r>
      <w:r>
        <w:rPr>
          <w:rFonts w:hint="eastAsia" w:ascii="楷体" w:hAnsi="楷体" w:eastAsia="楷体" w:cs="楷体"/>
          <w:b/>
          <w:snapToGrid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napToGrid w:val="0"/>
          <w:sz w:val="32"/>
          <w:szCs w:val="32"/>
        </w:rPr>
        <w:t>)。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ascii="黑体" w:hAnsi="黑体" w:eastAsia="黑体"/>
          <w:spacing w:val="20"/>
          <w:sz w:val="28"/>
          <w:lang w:val="en-US" w:eastAsia="zh-CN"/>
        </w:rPr>
      </w:pPr>
      <w:r>
        <w:rPr>
          <w:rFonts w:ascii="黑体" w:hAnsi="黑体" w:eastAsia="黑体"/>
          <w:spacing w:val="20"/>
          <w:sz w:val="28"/>
          <w:lang w:val="en-US" w:eastAsia="zh-CN"/>
        </w:rPr>
        <w:t>附件</w:t>
      </w:r>
      <w:r>
        <w:rPr>
          <w:rFonts w:hint="eastAsia" w:ascii="黑体" w:hAnsi="黑体" w:eastAsia="黑体"/>
          <w:spacing w:val="20"/>
          <w:sz w:val="28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pacing w:val="20"/>
          <w:sz w:val="28"/>
          <w:lang w:val="en-US" w:eastAsia="zh-CN"/>
        </w:rPr>
      </w:pPr>
      <w:r>
        <w:rPr>
          <w:rFonts w:ascii="黑体" w:hAnsi="黑体" w:eastAsia="黑体"/>
          <w:snapToGrid w:val="0"/>
          <w:sz w:val="32"/>
          <w:szCs w:val="32"/>
          <w:lang w:eastAsia="zh-CN"/>
        </w:rPr>
        <w:t>2017年度</w:t>
      </w:r>
      <w:r>
        <w:rPr>
          <w:rFonts w:ascii="黑体" w:hAnsi="黑体" w:eastAsia="黑体"/>
          <w:snapToGrid w:val="0"/>
          <w:sz w:val="32"/>
          <w:szCs w:val="32"/>
        </w:rPr>
        <w:t>政府信息公开工作情况统计表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91"/>
        <w:gridCol w:w="108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统  计  指  标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一、主动公开情况</w:t>
            </w:r>
          </w:p>
        </w:tc>
        <w:tc>
          <w:tcPr>
            <w:tcW w:w="1081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（一）主动公开政府信息数</w:t>
            </w:r>
          </w:p>
          <w:p>
            <w:pPr>
              <w:spacing w:line="400" w:lineRule="exact"/>
              <w:ind w:firstLine="945" w:firstLineChars="450"/>
              <w:rPr>
                <w:szCs w:val="21"/>
              </w:rPr>
            </w:pPr>
            <w:r>
              <w:rPr>
                <w:szCs w:val="21"/>
              </w:rPr>
              <w:t>（不同渠道和方式公开相同信息计1条）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365" w:firstLineChars="650"/>
              <w:rPr>
                <w:szCs w:val="21"/>
              </w:rPr>
            </w:pPr>
            <w:r>
              <w:rPr>
                <w:szCs w:val="21"/>
              </w:rPr>
              <w:t>其中：主动公开规范性文件数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995" w:firstLineChars="950"/>
              <w:rPr>
                <w:szCs w:val="21"/>
              </w:rPr>
            </w:pPr>
            <w:r>
              <w:rPr>
                <w:szCs w:val="21"/>
              </w:rPr>
              <w:t>制发规范性文件总数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（二）通过不同渠道和方式公开政府信息的情况</w:t>
            </w:r>
          </w:p>
        </w:tc>
        <w:tc>
          <w:tcPr>
            <w:tcW w:w="1081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1．政府公报公开政府信息数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2．政府网站公开政府信息数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3．政务微博公开政府信息数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4．政务微信公开政府信息数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5．其他方式公开政府信息数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二、回应解读情况</w:t>
            </w:r>
          </w:p>
        </w:tc>
        <w:tc>
          <w:tcPr>
            <w:tcW w:w="1081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（一）回应公众关注热点或重大舆情数</w:t>
            </w:r>
          </w:p>
          <w:p>
            <w:pPr>
              <w:spacing w:line="400" w:lineRule="exact"/>
              <w:ind w:firstLine="945" w:firstLineChars="450"/>
              <w:rPr>
                <w:szCs w:val="21"/>
              </w:rPr>
            </w:pPr>
            <w:r>
              <w:rPr>
                <w:szCs w:val="21"/>
              </w:rPr>
              <w:t>（不同方式回应同一热点或舆情计1次）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（二）通过不同渠道和方式回应解读的情况</w:t>
            </w:r>
          </w:p>
        </w:tc>
        <w:tc>
          <w:tcPr>
            <w:tcW w:w="1081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1．参加或举办新闻发布会总次数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348" w:firstLineChars="642"/>
              <w:rPr>
                <w:szCs w:val="21"/>
              </w:rPr>
            </w:pPr>
            <w:r>
              <w:rPr>
                <w:szCs w:val="21"/>
              </w:rPr>
              <w:t>其中：主要负责同志参加新闻发布会次数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2．政府网站在线访谈次数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348" w:firstLineChars="642"/>
              <w:rPr>
                <w:szCs w:val="21"/>
              </w:rPr>
            </w:pPr>
            <w:r>
              <w:rPr>
                <w:szCs w:val="21"/>
              </w:rPr>
              <w:t>其中：主要负责同志参加政府网站在线访谈次数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3．政策解读稿件发布数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4．微博微信回应事件数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5．其他方式回应事件数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三、依申请公开情况</w:t>
            </w:r>
          </w:p>
        </w:tc>
        <w:tc>
          <w:tcPr>
            <w:tcW w:w="1081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（一）收到申请数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1．当面申请数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2．传真申请数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3．网络申请数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4．信函申请数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（二）申请办结数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1．按时办结数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2．延期办结数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（三）申请答复数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1．属于已主动公开范围数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2．同意公开答复数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3．同意部分公开答复数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4．不同意公开答复数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470" w:firstLineChars="700"/>
              <w:rPr>
                <w:szCs w:val="21"/>
              </w:rPr>
            </w:pPr>
            <w:r>
              <w:rPr>
                <w:szCs w:val="21"/>
              </w:rPr>
              <w:t>其中：涉及国家秘密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2100" w:firstLineChars="1000"/>
              <w:rPr>
                <w:szCs w:val="21"/>
              </w:rPr>
            </w:pPr>
            <w:r>
              <w:rPr>
                <w:szCs w:val="21"/>
              </w:rPr>
              <w:t>涉及商业秘密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2100" w:firstLineChars="1000"/>
              <w:rPr>
                <w:szCs w:val="21"/>
              </w:rPr>
            </w:pPr>
            <w:r>
              <w:rPr>
                <w:szCs w:val="21"/>
              </w:rPr>
              <w:t>涉及个人隐私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2100" w:firstLineChars="1000"/>
              <w:rPr>
                <w:szCs w:val="21"/>
              </w:rPr>
            </w:pPr>
            <w:r>
              <w:rPr>
                <w:szCs w:val="21"/>
              </w:rPr>
              <w:t>危及国家安全、公共安全、经济安全和社会稳定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2100" w:firstLineChars="1000"/>
              <w:rPr>
                <w:szCs w:val="21"/>
              </w:rPr>
            </w:pPr>
            <w:r>
              <w:rPr>
                <w:szCs w:val="21"/>
              </w:rPr>
              <w:t>不是《条例》所指政府信息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2100" w:firstLineChars="1000"/>
              <w:rPr>
                <w:szCs w:val="21"/>
              </w:rPr>
            </w:pPr>
            <w:r>
              <w:rPr>
                <w:szCs w:val="21"/>
              </w:rPr>
              <w:t>法律法规规定的其他情形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5．不属于本行政机关公开数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6．申请信息不存在数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7．告知作出更改补充数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8．告知通过其他途径办理数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四、行政复议数量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（一）维持具体行政行为数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（二）被依法纠错数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（三）其他情形数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五、行政诉讼数量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（一）维持具体行政行为或者驳回原告诉讼请求数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（二）被依法纠错数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（三）其他情形数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六、举报投诉数量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件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七、依申请公开信息收取的费用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八、机构建设和保障经费情况</w:t>
            </w:r>
          </w:p>
        </w:tc>
        <w:tc>
          <w:tcPr>
            <w:tcW w:w="1081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（一）政府信息公开工作专门机构数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（二）设置政府信息公开查阅点数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（三）从事政府信息公开工作人员数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1．专职人员数（不包括政府公报及政府网站工作人员数）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szCs w:val="21"/>
              </w:rPr>
              <w:t>2．兼职人员数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left="869" w:leftChars="129" w:hanging="598" w:hangingChars="285"/>
              <w:rPr>
                <w:szCs w:val="21"/>
              </w:rPr>
            </w:pPr>
            <w:r>
              <w:rPr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九、政府信息公开会议和培训情况</w:t>
            </w:r>
          </w:p>
        </w:tc>
        <w:tc>
          <w:tcPr>
            <w:tcW w:w="1081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rPr>
                <w:rFonts w:hint="eastAsia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（一）召开政府信息公开工作会议或专题会议数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（二）举办各类培训班数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291" w:type="dxa"/>
            <w:vAlign w:val="top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（三）接受培训人员数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人次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</w:t>
            </w:r>
          </w:p>
        </w:tc>
      </w:tr>
    </w:tbl>
    <w:p>
      <w:pPr>
        <w:rPr>
          <w:rFonts w:ascii="黑体" w:hAnsi="黑体" w:eastAsia="黑体"/>
          <w:spacing w:val="20"/>
          <w:sz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43D"/>
    <w:multiLevelType w:val="singleLevel"/>
    <w:tmpl w:val="5A91243D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5A9124C8"/>
    <w:multiLevelType w:val="singleLevel"/>
    <w:tmpl w:val="5A9124C8"/>
    <w:lvl w:ilvl="0" w:tentative="0">
      <w:start w:val="1"/>
      <w:numFmt w:val="chineseCounting"/>
      <w:suff w:val="nothing"/>
      <w:lvlText w:val="(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4642"/>
    <w:rsid w:val="329A4D41"/>
    <w:rsid w:val="3A8B238F"/>
    <w:rsid w:val="3AB744E9"/>
    <w:rsid w:val="3C084642"/>
    <w:rsid w:val="54C14700"/>
    <w:rsid w:val="5CB83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2018-02-24T07:32:00Z</dcterms:created>
  <dc:creator>奚美希</dc:creator>
  <cp:lastModifiedBy>q</cp:lastModifiedBy>
  <dcterms:modified xsi:type="dcterms:W3CDTF">2019-06-10T00:56:02Z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