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8"/>
        </w:rPr>
      </w:pPr>
      <w:r>
        <w:rPr>
          <w:rFonts w:hint="eastAsia" w:ascii="黑体" w:hAnsi="黑体" w:eastAsia="黑体" w:cs="黑体"/>
          <w:sz w:val="40"/>
          <w:szCs w:val="48"/>
          <w:lang w:val="en-US" w:eastAsia="zh-CN"/>
        </w:rPr>
        <w:t xml:space="preserve">   </w:t>
      </w:r>
      <w:r>
        <w:rPr>
          <w:rFonts w:hint="eastAsia" w:ascii="黑体" w:hAnsi="黑体" w:eastAsia="黑体" w:cs="黑体"/>
          <w:sz w:val="40"/>
          <w:szCs w:val="48"/>
        </w:rPr>
        <w:t>关于县人大常委会</w:t>
      </w:r>
      <w:r>
        <w:rPr>
          <w:rFonts w:hint="eastAsia" w:ascii="黑体" w:hAnsi="黑体" w:eastAsia="黑体" w:cs="黑体"/>
          <w:sz w:val="40"/>
          <w:szCs w:val="48"/>
          <w:lang w:eastAsia="zh-CN"/>
        </w:rPr>
        <w:t>对</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val="en-US" w:eastAsia="zh-CN"/>
        </w:rPr>
        <w:t>全县企业国有资产</w:t>
      </w:r>
      <w:r>
        <w:rPr>
          <w:rFonts w:hint="eastAsia" w:ascii="方正小标宋简体" w:hAnsi="方正小标宋简体" w:eastAsia="方正小标宋简体" w:cs="方正小标宋简体"/>
          <w:sz w:val="44"/>
          <w:szCs w:val="44"/>
        </w:rPr>
        <w:t>管理情况</w:t>
      </w:r>
      <w:r>
        <w:rPr>
          <w:rFonts w:hint="eastAsia" w:ascii="方正小标宋简体" w:hAnsi="方正小标宋简体" w:eastAsia="方正小标宋简体" w:cs="方正小标宋简体"/>
          <w:sz w:val="44"/>
          <w:szCs w:val="44"/>
          <w:lang w:val="en-US" w:eastAsia="zh-CN"/>
        </w:rPr>
        <w:t>专项</w:t>
      </w:r>
      <w:r>
        <w:rPr>
          <w:rFonts w:hint="eastAsia" w:ascii="方正小标宋简体" w:hAnsi="方正小标宋简体" w:eastAsia="方正小标宋简体" w:cs="方正小标宋简体"/>
          <w:sz w:val="44"/>
          <w:szCs w:val="44"/>
        </w:rPr>
        <w:t>报告</w:t>
      </w:r>
      <w:r>
        <w:rPr>
          <w:rFonts w:hint="eastAsia" w:ascii="黑体" w:hAnsi="黑体" w:eastAsia="黑体" w:cs="黑体"/>
          <w:sz w:val="40"/>
          <w:szCs w:val="48"/>
        </w:rPr>
        <w:t>审议意见</w:t>
      </w:r>
    </w:p>
    <w:p>
      <w:pPr>
        <w:jc w:val="center"/>
        <w:rPr>
          <w:rFonts w:hint="eastAsia" w:ascii="黑体" w:hAnsi="黑体" w:eastAsia="黑体" w:cs="黑体"/>
          <w:sz w:val="40"/>
          <w:szCs w:val="48"/>
        </w:rPr>
      </w:pPr>
      <w:r>
        <w:rPr>
          <w:rFonts w:hint="eastAsia" w:ascii="黑体" w:hAnsi="黑体" w:eastAsia="黑体" w:cs="黑体"/>
          <w:sz w:val="40"/>
          <w:szCs w:val="48"/>
          <w:lang w:val="en-US" w:eastAsia="zh-CN"/>
        </w:rPr>
        <w:t>研究</w:t>
      </w:r>
      <w:r>
        <w:rPr>
          <w:rFonts w:hint="eastAsia" w:ascii="黑体" w:hAnsi="黑体" w:eastAsia="黑体" w:cs="黑体"/>
          <w:sz w:val="40"/>
          <w:szCs w:val="48"/>
        </w:rPr>
        <w:t>处理情况</w:t>
      </w:r>
      <w:r>
        <w:rPr>
          <w:rFonts w:hint="eastAsia" w:ascii="黑体" w:hAnsi="黑体" w:eastAsia="黑体" w:cs="黑体"/>
          <w:sz w:val="40"/>
          <w:szCs w:val="48"/>
          <w:lang w:val="en-US" w:eastAsia="zh-CN"/>
        </w:rPr>
        <w:t>的</w:t>
      </w:r>
      <w:r>
        <w:rPr>
          <w:rFonts w:hint="eastAsia" w:ascii="黑体" w:hAnsi="黑体" w:eastAsia="黑体" w:cs="黑体"/>
          <w:sz w:val="40"/>
          <w:szCs w:val="48"/>
        </w:rPr>
        <w:t>报告</w:t>
      </w:r>
    </w:p>
    <w:p>
      <w:pPr>
        <w:keepNext w:val="0"/>
        <w:keepLines w:val="0"/>
        <w:pageBreakBefore w:val="0"/>
        <w:widowControl/>
        <w:kinsoku/>
        <w:wordWrap/>
        <w:overflowPunct/>
        <w:topLinePunct w:val="0"/>
        <w:autoSpaceDE/>
        <w:autoSpaceDN/>
        <w:bidi w:val="0"/>
        <w:adjustRightInd/>
        <w:snapToGrid/>
        <w:spacing w:line="560" w:lineRule="exact"/>
        <w:ind w:firstLine="3200" w:firstLineChars="1000"/>
        <w:jc w:val="both"/>
        <w:textAlignment w:val="auto"/>
        <w:rPr>
          <w:rFonts w:hint="default" w:eastAsia="方正小标宋_GBK"/>
          <w:lang w:val="en-US" w:eastAsia="zh-CN"/>
        </w:rPr>
      </w:pPr>
      <w:r>
        <w:rPr>
          <w:rFonts w:hint="eastAsia" w:ascii="仿宋" w:hAnsi="仿宋" w:eastAsia="仿宋" w:cs="仿宋"/>
          <w:b w:val="0"/>
          <w:bCs/>
          <w:color w:val="auto"/>
          <w:kern w:val="2"/>
          <w:sz w:val="32"/>
          <w:szCs w:val="32"/>
          <w:lang w:val="zh-CN" w:eastAsia="zh-CN" w:bidi="zh-CN"/>
        </w:rPr>
        <w:t>铅山县人民政府</w:t>
      </w:r>
      <w:r>
        <w:rPr>
          <w:rFonts w:hint="eastAsia" w:ascii="仿宋" w:hAnsi="仿宋" w:eastAsia="仿宋" w:cs="仿宋"/>
          <w:b w:val="0"/>
          <w:bCs/>
          <w:color w:val="auto"/>
          <w:kern w:val="2"/>
          <w:sz w:val="32"/>
          <w:szCs w:val="32"/>
          <w:lang w:val="en-US" w:eastAsia="zh-CN" w:bidi="zh-CN"/>
        </w:rPr>
        <w:t xml:space="preserve">   </w:t>
      </w:r>
      <w:r>
        <w:rPr>
          <w:rFonts w:hint="eastAsia" w:ascii="方正小标宋_GBK" w:hAnsi="方正小标宋_GBK" w:eastAsia="方正小标宋_GBK" w:cs="方正小标宋_GBK"/>
          <w:sz w:val="44"/>
          <w:szCs w:val="44"/>
          <w:lang w:val="en-US" w:eastAsia="zh-CN"/>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Autospacing="0" w:line="540" w:lineRule="exact"/>
        <w:ind w:right="0" w:firstLine="3200" w:firstLineChars="1000"/>
        <w:jc w:val="both"/>
        <w:textAlignment w:val="auto"/>
        <w:rPr>
          <w:rStyle w:val="12"/>
          <w:rFonts w:hint="eastAsia" w:ascii="仿宋" w:hAnsi="仿宋" w:eastAsia="仿宋" w:cs="仿宋"/>
          <w:b w:val="0"/>
          <w:bCs/>
          <w:color w:val="auto"/>
          <w:kern w:val="2"/>
          <w:lang w:val="en-US" w:eastAsia="zh-CN"/>
        </w:rPr>
      </w:pPr>
      <w:r>
        <w:rPr>
          <w:rStyle w:val="12"/>
          <w:rFonts w:hint="eastAsia" w:ascii="仿宋" w:hAnsi="仿宋" w:eastAsia="仿宋" w:cs="仿宋"/>
          <w:b w:val="0"/>
          <w:bCs/>
          <w:color w:val="auto"/>
          <w:kern w:val="2"/>
          <w:lang w:val="en-US" w:eastAsia="zh-CN"/>
        </w:rPr>
        <w:t>2024年2月27日</w:t>
      </w:r>
    </w:p>
    <w:p>
      <w:pPr>
        <w:rPr>
          <w:rFonts w:hint="eastAsia" w:ascii="仿宋_GB2312" w:hAnsi="仿宋_GB2312" w:eastAsia="仿宋_GB2312" w:cs="仿宋_GB2312"/>
          <w:b/>
          <w:bCs w:val="0"/>
          <w:sz w:val="32"/>
          <w:szCs w:val="40"/>
        </w:rPr>
      </w:pPr>
      <w:r>
        <w:rPr>
          <w:rFonts w:hint="eastAsia" w:ascii="仿宋" w:hAnsi="仿宋" w:eastAsia="仿宋" w:cs="仿宋"/>
          <w:b/>
          <w:bCs w:val="0"/>
          <w:color w:val="auto"/>
          <w:kern w:val="2"/>
          <w:sz w:val="32"/>
          <w:szCs w:val="32"/>
          <w:lang w:val="zh-CN" w:eastAsia="zh-CN" w:bidi="zh-CN"/>
        </w:rPr>
        <w:t>主任，各位副主任、委员：</w:t>
      </w:r>
    </w:p>
    <w:p>
      <w:pPr>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 xml:space="preserve"> </w:t>
      </w:r>
      <w:r>
        <w:rPr>
          <w:rFonts w:hint="eastAsia" w:ascii="仿宋_GB2312" w:hAnsi="仿宋_GB2312" w:eastAsia="仿宋_GB2312" w:cs="仿宋_GB2312"/>
          <w:sz w:val="32"/>
          <w:szCs w:val="40"/>
          <w:lang w:val="en-US" w:eastAsia="zh-CN"/>
        </w:rPr>
        <w:t xml:space="preserve">  </w:t>
      </w:r>
      <w:r>
        <w:rPr>
          <w:rFonts w:hint="eastAsia" w:ascii="仿宋" w:hAnsi="仿宋" w:eastAsia="仿宋"/>
          <w:color w:val="000000"/>
          <w:sz w:val="32"/>
          <w:szCs w:val="32"/>
          <w:lang w:val="en-US" w:eastAsia="zh-CN"/>
        </w:rPr>
        <w:t>2023年10月27日，县十七届人大常委会第十四次会议听取和审议了县财政局局长孔德元受县人民政府委托所作的《</w:t>
      </w:r>
      <w:r>
        <w:rPr>
          <w:rFonts w:hint="eastAsia" w:ascii="仿宋" w:hAnsi="仿宋" w:eastAsia="仿宋" w:cs="仿宋"/>
          <w:sz w:val="32"/>
          <w:szCs w:val="32"/>
          <w:lang w:val="en-US" w:eastAsia="zh-CN"/>
        </w:rPr>
        <w:t>关于2022年度全县企业国有资产管理情况的专项报告</w:t>
      </w:r>
      <w:r>
        <w:rPr>
          <w:rFonts w:hint="eastAsia" w:ascii="仿宋" w:hAnsi="仿宋" w:eastAsia="仿宋"/>
          <w:color w:val="000000"/>
          <w:sz w:val="32"/>
          <w:szCs w:val="32"/>
          <w:lang w:val="en-US" w:eastAsia="zh-CN"/>
        </w:rPr>
        <w:t>》，对专项报告提出了审议意见。</w:t>
      </w:r>
      <w:r>
        <w:rPr>
          <w:rFonts w:hint="eastAsia" w:ascii="仿宋_GB2312" w:hAnsi="仿宋_GB2312" w:eastAsia="仿宋_GB2312" w:cs="仿宋_GB2312"/>
          <w:sz w:val="32"/>
          <w:szCs w:val="40"/>
        </w:rPr>
        <w:t>县人民政府高度重视，责成县财政局</w:t>
      </w:r>
      <w:r>
        <w:rPr>
          <w:rFonts w:hint="eastAsia" w:ascii="仿宋_GB2312" w:hAnsi="仿宋_GB2312" w:eastAsia="仿宋_GB2312" w:cs="仿宋_GB2312"/>
          <w:sz w:val="32"/>
          <w:szCs w:val="40"/>
          <w:lang w:eastAsia="zh-CN"/>
        </w:rPr>
        <w:t>、县国资中心、各县属国有企业</w:t>
      </w:r>
      <w:r>
        <w:rPr>
          <w:rFonts w:hint="eastAsia" w:ascii="仿宋_GB2312" w:hAnsi="仿宋_GB2312" w:eastAsia="仿宋_GB2312" w:cs="仿宋_GB2312"/>
          <w:sz w:val="32"/>
          <w:szCs w:val="40"/>
        </w:rPr>
        <w:t>针对《审议意见》中提出的意见和建议，</w:t>
      </w:r>
      <w:r>
        <w:rPr>
          <w:rFonts w:hint="eastAsia" w:ascii="仿宋_GB2312" w:hAnsi="仿宋_GB2312" w:eastAsia="仿宋_GB2312" w:cs="仿宋_GB2312"/>
          <w:sz w:val="32"/>
          <w:szCs w:val="40"/>
          <w:lang w:eastAsia="zh-CN"/>
        </w:rPr>
        <w:t>进行分析调研</w:t>
      </w:r>
      <w:r>
        <w:rPr>
          <w:rFonts w:hint="eastAsia" w:ascii="仿宋_GB2312" w:hAnsi="仿宋_GB2312" w:eastAsia="仿宋_GB2312" w:cs="仿宋_GB2312"/>
          <w:sz w:val="32"/>
          <w:szCs w:val="40"/>
        </w:rPr>
        <w:t>，提出改进措施，全力抓好落实。现将有关情况报告如下：</w:t>
      </w:r>
    </w:p>
    <w:p>
      <w:pPr>
        <w:rPr>
          <w:rFonts w:hint="eastAsia" w:ascii="黑体" w:hAnsi="黑体" w:eastAsia="黑体" w:cs="黑体"/>
          <w:sz w:val="32"/>
          <w:szCs w:val="40"/>
        </w:rPr>
      </w:pPr>
      <w:r>
        <w:rPr>
          <w:rFonts w:hint="eastAsia" w:ascii="黑体" w:hAnsi="黑体" w:eastAsia="黑体" w:cs="黑体"/>
          <w:sz w:val="32"/>
          <w:szCs w:val="40"/>
          <w:lang w:eastAsia="zh-CN"/>
        </w:rPr>
        <w:t>　</w:t>
      </w:r>
      <w:r>
        <w:rPr>
          <w:rFonts w:hint="eastAsia" w:ascii="黑体" w:hAnsi="黑体" w:eastAsia="黑体" w:cs="黑体"/>
          <w:sz w:val="32"/>
          <w:szCs w:val="40"/>
        </w:rPr>
        <w:t>一、关于“</w:t>
      </w:r>
      <w:r>
        <w:rPr>
          <w:rFonts w:hint="eastAsia" w:ascii="黑体" w:hAnsi="黑体" w:eastAsia="黑体" w:cs="黑体"/>
          <w:sz w:val="32"/>
          <w:szCs w:val="40"/>
          <w:lang w:eastAsia="zh-CN"/>
        </w:rPr>
        <w:t>国有资产管理不到位</w:t>
      </w:r>
      <w:r>
        <w:rPr>
          <w:rFonts w:hint="eastAsia" w:ascii="黑体" w:hAnsi="黑体" w:eastAsia="黑体" w:cs="黑体"/>
          <w:sz w:val="32"/>
          <w:szCs w:val="40"/>
        </w:rPr>
        <w:t>”问题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40"/>
          <w:lang w:eastAsia="zh-CN"/>
        </w:rPr>
        <w:t>根据县人大的审议意见</w:t>
      </w:r>
      <w:r>
        <w:rPr>
          <w:rFonts w:hint="eastAsia" w:ascii="仿宋_GB2312" w:hAnsi="仿宋_GB2312" w:eastAsia="仿宋_GB2312" w:cs="仿宋_GB2312"/>
          <w:sz w:val="32"/>
          <w:szCs w:val="32"/>
          <w:lang w:val="en-US" w:eastAsia="zh-CN"/>
        </w:rPr>
        <w:t>指出的“国有资产管理不到位”的问题，县国资部门通过资产清查和相关调研，将有关情况进行了梳理、落实。</w:t>
      </w:r>
    </w:p>
    <w:p>
      <w:pPr>
        <w:keepNext w:val="0"/>
        <w:keepLines w:val="0"/>
        <w:pageBreakBefore w:val="0"/>
        <w:widowControl w:val="0"/>
        <w:numPr>
          <w:ilvl w:val="0"/>
          <w:numId w:val="1"/>
        </w:numPr>
        <w:tabs>
          <w:tab w:val="left" w:pos="306"/>
        </w:tabs>
        <w:kinsoku/>
        <w:wordWrap/>
        <w:overflowPunct/>
        <w:topLinePunct w:val="0"/>
        <w:autoSpaceDE/>
        <w:autoSpaceDN/>
        <w:bidi w:val="0"/>
        <w:adjustRightInd/>
        <w:snapToGrid/>
        <w:spacing w:line="560" w:lineRule="exact"/>
        <w:ind w:left="424" w:leftChars="202" w:firstLine="321" w:firstLineChars="1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40"/>
          <w:lang w:val="en-US" w:eastAsia="zh-CN"/>
        </w:rPr>
        <w:t>关于</w:t>
      </w:r>
      <w:r>
        <w:rPr>
          <w:rFonts w:hint="eastAsia" w:ascii="仿宋_GB2312" w:hAnsi="仿宋_GB2312" w:eastAsia="仿宋_GB2312" w:cs="仿宋_GB2312"/>
          <w:b/>
          <w:bCs/>
          <w:sz w:val="32"/>
          <w:szCs w:val="32"/>
          <w:lang w:val="en-US" w:eastAsia="zh-CN"/>
        </w:rPr>
        <w:t>国有企业经营性资产产权与收益权不一致的问题</w:t>
      </w:r>
    </w:p>
    <w:p>
      <w:pPr>
        <w:keepNext w:val="0"/>
        <w:keepLines w:val="0"/>
        <w:pageBreakBefore w:val="0"/>
        <w:widowControl w:val="0"/>
        <w:numPr>
          <w:ilvl w:val="0"/>
          <w:numId w:val="0"/>
        </w:numPr>
        <w:tabs>
          <w:tab w:val="left" w:pos="306"/>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shd w:val="clear" w:color="auto" w:fill="auto"/>
          <w:lang w:val="en-US" w:eastAsia="zh-CN"/>
        </w:rPr>
      </w:pPr>
      <w:r>
        <w:rPr>
          <w:rFonts w:hint="eastAsia" w:ascii="仿宋_GB2312" w:hAnsi="仿宋_GB2312" w:eastAsia="仿宋_GB2312" w:cs="仿宋_GB2312"/>
          <w:sz w:val="32"/>
          <w:szCs w:val="40"/>
          <w:shd w:val="clear" w:color="auto" w:fill="auto"/>
          <w:lang w:val="en-US" w:eastAsia="zh-CN"/>
        </w:rPr>
        <w:t>根据测算，归集在县城投集团名下而由各相关单位收取的房屋年租金约927万元。县国资中心报请县政府协调会议研究，决定经营性资产产权已经在国企集团公司但由各行政事业单位收取租金的，相关租金收入全额进入国企集团公司账户，由此可增加企业的现金流约1000万元，相关单位原由租金收入680万元的经费缺口由财政保障。</w:t>
      </w:r>
    </w:p>
    <w:p>
      <w:pPr>
        <w:keepNext w:val="0"/>
        <w:keepLines w:val="0"/>
        <w:pageBreakBefore w:val="0"/>
        <w:widowControl w:val="0"/>
        <w:numPr>
          <w:ilvl w:val="0"/>
          <w:numId w:val="0"/>
        </w:numPr>
        <w:tabs>
          <w:tab w:val="left" w:pos="306"/>
        </w:tabs>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2、部分行政事业单位经营性资产未集中统一管理的问题</w:t>
      </w:r>
    </w:p>
    <w:p>
      <w:pPr>
        <w:keepNext w:val="0"/>
        <w:keepLines w:val="0"/>
        <w:pageBreakBefore w:val="0"/>
        <w:widowControl w:val="0"/>
        <w:numPr>
          <w:ilvl w:val="0"/>
          <w:numId w:val="0"/>
        </w:numPr>
        <w:tabs>
          <w:tab w:val="left" w:pos="306"/>
        </w:tabs>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有效、有序管理好运营好行政事业单位经营性资产，县国资中心已将320处原属于县住房保障中心、县文化馆、县图书馆、县卫校、县市管局等单位的经营性资产和闲置资产全部提交县政府常务会议研究，将以上资产全部划至县国资办名下，下一步将注入国企集团。在2023年对原属住房保障中心名下未公开拍租的资产进行了公开招租，五年的店铺租金总额比未公开招租前增值300多万元，实现了国有资产处置阳光操作、保值增值的要求。</w:t>
      </w:r>
    </w:p>
    <w:p>
      <w:pPr>
        <w:numPr>
          <w:ilvl w:val="0"/>
          <w:numId w:val="0"/>
        </w:numPr>
        <w:tabs>
          <w:tab w:val="left" w:pos="306"/>
        </w:tabs>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下一步由县国资中心督促重点单位和重点部门开展系统性的资产清查，充分摸清国有资产家底，发挥国有资产效益。</w:t>
      </w:r>
    </w:p>
    <w:p>
      <w:pPr>
        <w:numPr>
          <w:ilvl w:val="0"/>
          <w:numId w:val="2"/>
        </w:numPr>
        <w:tabs>
          <w:tab w:val="left" w:pos="306"/>
        </w:tabs>
        <w:spacing w:line="580" w:lineRule="exact"/>
        <w:ind w:firstLine="643"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关于部分国企资产处于闲置状态的问题。</w:t>
      </w:r>
    </w:p>
    <w:p>
      <w:pPr>
        <w:numPr>
          <w:ilvl w:val="0"/>
          <w:numId w:val="0"/>
        </w:numPr>
        <w:tabs>
          <w:tab w:val="left" w:pos="306"/>
        </w:tabs>
        <w:spacing w:line="58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关于县农业农村局下属粮油购销公司经营管理的部分基层粮所（站）资产长期无人管理，导致破损荒废问题。</w:t>
      </w:r>
      <w:r>
        <w:rPr>
          <w:rFonts w:hint="default" w:ascii="仿宋" w:hAnsi="仿宋" w:eastAsia="仿宋" w:cs="仿宋"/>
          <w:sz w:val="32"/>
          <w:szCs w:val="32"/>
          <w:lang w:val="en-US" w:eastAsia="zh-CN"/>
        </w:rPr>
        <w:t>县房屋维修服务公司</w:t>
      </w:r>
      <w:r>
        <w:rPr>
          <w:rFonts w:hint="eastAsia" w:ascii="仿宋" w:hAnsi="仿宋" w:eastAsia="仿宋" w:cs="仿宋"/>
          <w:sz w:val="32"/>
          <w:szCs w:val="32"/>
          <w:lang w:val="en-US" w:eastAsia="zh-CN"/>
        </w:rPr>
        <w:t>已对全县基层粮所（站)资产进行盘点清查</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通过清查登记</w:t>
      </w:r>
      <w:r>
        <w:rPr>
          <w:rFonts w:hint="default" w:ascii="仿宋" w:hAnsi="仿宋" w:eastAsia="仿宋" w:cs="仿宋"/>
          <w:sz w:val="32"/>
          <w:szCs w:val="32"/>
          <w:lang w:val="en-US" w:eastAsia="zh-CN"/>
        </w:rPr>
        <w:t>公司现有</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己出租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粮库86户，店面9个，宿舍楼8栋。办公楼5栋</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倒塌</w:t>
      </w:r>
      <w:r>
        <w:rPr>
          <w:rFonts w:hint="eastAsia" w:ascii="仿宋" w:hAnsi="仿宋" w:eastAsia="仿宋" w:cs="仿宋"/>
          <w:sz w:val="32"/>
          <w:szCs w:val="32"/>
          <w:lang w:val="en-US" w:eastAsia="zh-CN"/>
        </w:rPr>
        <w:t>、荒废</w:t>
      </w:r>
      <w:r>
        <w:rPr>
          <w:rFonts w:hint="default" w:ascii="仿宋" w:hAnsi="仿宋" w:eastAsia="仿宋" w:cs="仿宋"/>
          <w:sz w:val="32"/>
          <w:szCs w:val="32"/>
          <w:lang w:val="en-US" w:eastAsia="zh-CN"/>
        </w:rPr>
        <w:t>库点12个</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陈坊乡粮站</w:t>
      </w:r>
      <w:r>
        <w:rPr>
          <w:rFonts w:hint="eastAsia" w:ascii="仿宋" w:hAnsi="仿宋" w:eastAsia="仿宋" w:cs="仿宋"/>
          <w:sz w:val="32"/>
          <w:szCs w:val="32"/>
          <w:lang w:val="en-US" w:eastAsia="zh-CN"/>
        </w:rPr>
        <w:t>在</w:t>
      </w:r>
      <w:r>
        <w:rPr>
          <w:rFonts w:hint="default" w:ascii="仿宋" w:hAnsi="仿宋" w:eastAsia="仿宋" w:cs="仿宋"/>
          <w:sz w:val="32"/>
          <w:szCs w:val="32"/>
          <w:lang w:val="en-US" w:eastAsia="zh-CN"/>
        </w:rPr>
        <w:t>盘活国有资产</w:t>
      </w:r>
      <w:r>
        <w:rPr>
          <w:rFonts w:hint="eastAsia" w:ascii="仿宋" w:hAnsi="仿宋" w:eastAsia="仿宋" w:cs="仿宋"/>
          <w:sz w:val="32"/>
          <w:szCs w:val="32"/>
          <w:lang w:val="en-US" w:eastAsia="zh-CN"/>
        </w:rPr>
        <w:t>和有效</w:t>
      </w:r>
      <w:r>
        <w:rPr>
          <w:rFonts w:hint="default" w:ascii="仿宋" w:hAnsi="仿宋" w:eastAsia="仿宋" w:cs="仿宋"/>
          <w:sz w:val="32"/>
          <w:szCs w:val="32"/>
          <w:lang w:val="en-US" w:eastAsia="zh-CN"/>
        </w:rPr>
        <w:t>利用的前提下，</w:t>
      </w:r>
      <w:r>
        <w:rPr>
          <w:rFonts w:hint="eastAsia" w:ascii="仿宋" w:hAnsi="仿宋" w:eastAsia="仿宋" w:cs="仿宋"/>
          <w:sz w:val="32"/>
          <w:szCs w:val="32"/>
          <w:lang w:val="en-US" w:eastAsia="zh-CN"/>
        </w:rPr>
        <w:t>与当地</w:t>
      </w:r>
      <w:r>
        <w:rPr>
          <w:rFonts w:hint="default" w:ascii="仿宋" w:hAnsi="仿宋" w:eastAsia="仿宋" w:cs="仿宋"/>
          <w:sz w:val="32"/>
          <w:szCs w:val="32"/>
          <w:lang w:val="en-US" w:eastAsia="zh-CN"/>
        </w:rPr>
        <w:t>政府</w:t>
      </w:r>
      <w:r>
        <w:rPr>
          <w:rFonts w:hint="eastAsia" w:ascii="仿宋" w:hAnsi="仿宋" w:eastAsia="仿宋" w:cs="仿宋"/>
          <w:sz w:val="32"/>
          <w:szCs w:val="32"/>
          <w:lang w:val="en-US" w:eastAsia="zh-CN"/>
        </w:rPr>
        <w:t>协商</w:t>
      </w:r>
      <w:r>
        <w:rPr>
          <w:rFonts w:hint="default" w:ascii="仿宋" w:hAnsi="仿宋" w:eastAsia="仿宋" w:cs="仿宋"/>
          <w:sz w:val="32"/>
          <w:szCs w:val="32"/>
          <w:lang w:val="en-US" w:eastAsia="zh-CN"/>
        </w:rPr>
        <w:t>，由乡政府租赁陈坊乡粮站有关国有资产，对资产进行修缮，</w:t>
      </w:r>
      <w:r>
        <w:rPr>
          <w:rFonts w:hint="eastAsia" w:ascii="仿宋" w:hAnsi="仿宋" w:eastAsia="仿宋" w:cs="仿宋"/>
          <w:sz w:val="32"/>
          <w:szCs w:val="32"/>
          <w:lang w:val="en-US" w:eastAsia="zh-CN"/>
        </w:rPr>
        <w:t>连同</w:t>
      </w:r>
      <w:r>
        <w:rPr>
          <w:rFonts w:hint="default" w:ascii="仿宋" w:hAnsi="仿宋" w:eastAsia="仿宋" w:cs="仿宋"/>
          <w:sz w:val="32"/>
          <w:szCs w:val="32"/>
          <w:lang w:val="en-US" w:eastAsia="zh-CN"/>
        </w:rPr>
        <w:t>陈坊老街开发项目一起打造，</w:t>
      </w:r>
      <w:r>
        <w:rPr>
          <w:rFonts w:hint="eastAsia" w:ascii="仿宋" w:hAnsi="仿宋" w:eastAsia="仿宋" w:cs="仿宋"/>
          <w:sz w:val="32"/>
          <w:szCs w:val="32"/>
          <w:lang w:val="en-US" w:eastAsia="zh-CN"/>
        </w:rPr>
        <w:t>为做好后续闲置资产管理和利用提供了工作思路和途径</w:t>
      </w:r>
      <w:r>
        <w:rPr>
          <w:rFonts w:hint="default" w:ascii="仿宋" w:hAnsi="仿宋" w:eastAsia="仿宋" w:cs="仿宋"/>
          <w:sz w:val="32"/>
          <w:szCs w:val="32"/>
          <w:lang w:val="en-US" w:eastAsia="zh-CN"/>
        </w:rPr>
        <w:t>。</w:t>
      </w:r>
    </w:p>
    <w:p>
      <w:pPr>
        <w:numPr>
          <w:ilvl w:val="0"/>
          <w:numId w:val="0"/>
        </w:numPr>
        <w:tabs>
          <w:tab w:val="left" w:pos="306"/>
        </w:tabs>
        <w:spacing w:line="58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县国资中心通过举一反三，发现我县其他国有企业也存在资产闲置的问题。</w:t>
      </w:r>
      <w:r>
        <w:rPr>
          <w:rFonts w:hint="eastAsia" w:ascii="仿宋" w:hAnsi="仿宋" w:eastAsia="仿宋" w:cs="仿宋"/>
          <w:sz w:val="32"/>
          <w:szCs w:val="32"/>
          <w:lang w:eastAsia="zh-CN"/>
        </w:rPr>
        <w:t>县政府</w:t>
      </w:r>
      <w:r>
        <w:rPr>
          <w:rFonts w:hint="eastAsia" w:ascii="仿宋" w:hAnsi="仿宋" w:eastAsia="仿宋" w:cs="仿宋"/>
          <w:sz w:val="32"/>
          <w:szCs w:val="32"/>
          <w:lang w:val="en-US" w:eastAsia="zh-CN"/>
        </w:rPr>
        <w:t>督促县国资中心</w:t>
      </w:r>
      <w:r>
        <w:rPr>
          <w:rFonts w:hint="eastAsia" w:ascii="仿宋" w:hAnsi="仿宋" w:eastAsia="仿宋" w:cs="仿宋"/>
          <w:sz w:val="32"/>
          <w:szCs w:val="32"/>
          <w:lang w:eastAsia="zh-CN"/>
        </w:rPr>
        <w:t>进一步强化监管，充分发挥各县属国有企业的主体作用，通过各种方式盘活存量资产，有效提升存量资产运营管理水平，推动国有企业可持续高质量发展。</w:t>
      </w:r>
      <w:r>
        <w:rPr>
          <w:rFonts w:hint="eastAsia" w:ascii="仿宋" w:hAnsi="仿宋" w:eastAsia="仿宋" w:cs="仿宋"/>
          <w:sz w:val="32"/>
          <w:szCs w:val="32"/>
          <w:lang w:val="en-US" w:eastAsia="zh-CN"/>
        </w:rPr>
        <w:t>根据市国资委《关于加快市属国有企业存量资产盘活的实施意见》文件精神，制定我县国有企业存量资产盘活方案，并</w:t>
      </w:r>
      <w:r>
        <w:rPr>
          <w:rFonts w:hint="eastAsia" w:ascii="仿宋" w:hAnsi="仿宋" w:eastAsia="仿宋" w:cs="仿宋"/>
          <w:sz w:val="32"/>
          <w:szCs w:val="32"/>
          <w:lang w:eastAsia="zh-CN"/>
        </w:rPr>
        <w:t>从以下几方面加以改进：</w:t>
      </w:r>
    </w:p>
    <w:p>
      <w:pPr>
        <w:pStyle w:val="2"/>
        <w:ind w:firstLine="643" w:firstLineChars="200"/>
        <w:rPr>
          <w:rFonts w:hint="eastAsia"/>
          <w:lang w:val="en-US" w:eastAsia="zh-CN"/>
        </w:rPr>
      </w:pPr>
      <w:r>
        <w:rPr>
          <w:rFonts w:hint="eastAsia" w:ascii="仿宋_GB2312" w:hAnsi="仿宋_GB2312" w:eastAsia="仿宋_GB2312" w:cs="仿宋_GB2312"/>
          <w:b/>
          <w:bCs/>
          <w:sz w:val="32"/>
          <w:szCs w:val="40"/>
          <w:lang w:eastAsia="zh-CN"/>
        </w:rPr>
        <w:t>一是改造提升。</w:t>
      </w:r>
      <w:r>
        <w:rPr>
          <w:rFonts w:hint="eastAsia" w:ascii="仿宋_GB2312" w:hAnsi="仿宋_GB2312" w:eastAsia="仿宋_GB2312" w:cs="仿宋_GB2312"/>
          <w:sz w:val="32"/>
          <w:szCs w:val="40"/>
          <w:lang w:eastAsia="zh-CN"/>
        </w:rPr>
        <w:t>促进盘活存量和改扩建有机结合，盘活国有企业老旧资产资源，通过提升品质、完善用途等进一步丰富存量资产功能、提升资产效益。挖掘闲置低效资产价值，依法依规合理调整规划用途和开发强度，推动闲置低效资产改造与转型。</w:t>
      </w:r>
    </w:p>
    <w:p>
      <w:pPr>
        <w:pStyle w:val="2"/>
        <w:ind w:firstLine="643" w:firstLineChars="200"/>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eastAsia="zh-CN"/>
        </w:rPr>
        <w:t>二是开发利用。</w:t>
      </w:r>
      <w:r>
        <w:rPr>
          <w:rFonts w:hint="eastAsia" w:ascii="仿宋_GB2312" w:hAnsi="仿宋_GB2312" w:eastAsia="仿宋_GB2312" w:cs="仿宋_GB2312"/>
          <w:sz w:val="32"/>
          <w:szCs w:val="40"/>
          <w:lang w:val="en-US" w:eastAsia="zh-CN"/>
        </w:rPr>
        <w:t>要求</w:t>
      </w:r>
      <w:r>
        <w:rPr>
          <w:rFonts w:hint="eastAsia" w:ascii="仿宋_GB2312" w:hAnsi="仿宋_GB2312" w:eastAsia="仿宋_GB2312" w:cs="仿宋_GB2312"/>
          <w:sz w:val="32"/>
          <w:szCs w:val="40"/>
          <w:lang w:eastAsia="zh-CN"/>
        </w:rPr>
        <w:t>各县属国有企业要充分利用央企入赣、省企入饶（县）、央地合作等机会，结合企业发展实际，加大与央企、省属企业沟通对接力度，鼓励国有企业与央企、省属企业和其他优质企业合作力度，充分利用合作企业在资金、人才、技术、管理等方面的资源优势，开发利用一批具备合作和开发潜力的存量资产，不断提升国有资产保值增值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b/>
          <w:bCs/>
          <w:sz w:val="32"/>
          <w:szCs w:val="40"/>
          <w:lang w:eastAsia="zh-CN"/>
        </w:rPr>
        <w:t>三是处置变现</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要求</w:t>
      </w:r>
      <w:r>
        <w:rPr>
          <w:rFonts w:hint="eastAsia" w:ascii="仿宋_GB2312" w:hAnsi="仿宋_GB2312" w:eastAsia="仿宋_GB2312" w:cs="仿宋_GB2312"/>
          <w:sz w:val="32"/>
          <w:szCs w:val="40"/>
          <w:lang w:eastAsia="zh-CN"/>
        </w:rPr>
        <w:t>各县属企业要全面梳理、分类盘点具备市场价值、具备出售条件的存量资产，通过拍卖、公开招标或协议转让等多种方式合理出售存量资产，推动存量资产直接与社会资本连接，通过市场化交易，实现资产盘活价值最大化。</w:t>
      </w:r>
    </w:p>
    <w:p>
      <w:pPr>
        <w:numPr>
          <w:ilvl w:val="0"/>
          <w:numId w:val="0"/>
        </w:numPr>
        <w:rPr>
          <w:rFonts w:hint="eastAsia" w:ascii="黑体" w:hAnsi="黑体" w:eastAsia="黑体" w:cs="黑体"/>
          <w:sz w:val="32"/>
          <w:szCs w:val="40"/>
          <w:lang w:eastAsia="zh-CN"/>
        </w:rPr>
      </w:pPr>
      <w:r>
        <w:rPr>
          <w:rFonts w:hint="eastAsia" w:ascii="黑体" w:hAnsi="黑体" w:eastAsia="黑体" w:cs="黑体"/>
          <w:sz w:val="32"/>
          <w:szCs w:val="40"/>
          <w:lang w:eastAsia="zh-CN"/>
        </w:rPr>
        <w:t>二、关于“</w:t>
      </w:r>
      <w:r>
        <w:rPr>
          <w:rFonts w:hint="eastAsia" w:ascii="仿宋" w:hAnsi="仿宋" w:eastAsia="仿宋" w:cs="仿宋"/>
          <w:b/>
          <w:bCs/>
          <w:sz w:val="32"/>
          <w:szCs w:val="32"/>
          <w:lang w:val="en-US" w:eastAsia="zh-CN"/>
        </w:rPr>
        <w:t>国有资产运营效益整体不高</w:t>
      </w:r>
      <w:r>
        <w:rPr>
          <w:rFonts w:hint="eastAsia" w:ascii="黑体" w:hAnsi="黑体" w:eastAsia="黑体" w:cs="黑体"/>
          <w:sz w:val="32"/>
          <w:szCs w:val="40"/>
          <w:lang w:eastAsia="zh-CN"/>
        </w:rPr>
        <w:t>”问题</w:t>
      </w:r>
    </w:p>
    <w:p>
      <w:pPr>
        <w:pStyle w:val="2"/>
        <w:ind w:firstLine="643" w:firstLineChars="200"/>
        <w:rPr>
          <w:rFonts w:hint="eastAsia" w:ascii="仿宋" w:hAnsi="仿宋" w:eastAsia="仿宋" w:cs="仿宋"/>
          <w:sz w:val="32"/>
          <w:szCs w:val="32"/>
          <w:highlight w:val="none"/>
          <w:u w:val="none"/>
          <w:lang w:eastAsia="zh-CN"/>
        </w:rPr>
      </w:pPr>
      <w:r>
        <w:rPr>
          <w:rFonts w:hint="eastAsia" w:ascii="仿宋" w:hAnsi="仿宋" w:eastAsia="仿宋" w:cs="仿宋"/>
          <w:b/>
          <w:bCs/>
          <w:sz w:val="32"/>
          <w:szCs w:val="32"/>
          <w:lang w:val="en-US" w:eastAsia="zh-CN"/>
        </w:rPr>
        <w:t>1、关于具有市场竞争力的产业还比较缺乏的问题。</w:t>
      </w:r>
      <w:r>
        <w:rPr>
          <w:rFonts w:hint="eastAsia" w:ascii="仿宋" w:hAnsi="仿宋" w:eastAsia="仿宋" w:cs="仿宋"/>
          <w:sz w:val="32"/>
          <w:szCs w:val="32"/>
          <w:lang w:val="en-US" w:eastAsia="zh-CN"/>
        </w:rPr>
        <w:t>县城投集团正在按优化升级方案将</w:t>
      </w:r>
      <w:r>
        <w:rPr>
          <w:rFonts w:hint="eastAsia" w:ascii="仿宋" w:hAnsi="仿宋" w:eastAsia="仿宋" w:cs="仿宋"/>
          <w:sz w:val="32"/>
          <w:szCs w:val="32"/>
          <w:highlight w:val="none"/>
        </w:rPr>
        <w:t>优化升级后城投集团定位为综合性实业集团公司，围绕国有资本营运、城市建设、房地产开发、石矿开发、金融投资、乡村振兴、农业开发等行业发展建设需要，负责资金筹措、建设和资产管理。在促进全县城市建设、产业发展的同时，实现企业自身经济效益的提高和国有资产的保值增值。</w:t>
      </w:r>
      <w:r>
        <w:rPr>
          <w:rFonts w:hint="eastAsia" w:ascii="仿宋" w:hAnsi="仿宋" w:eastAsia="仿宋" w:cs="仿宋"/>
          <w:sz w:val="32"/>
          <w:szCs w:val="32"/>
          <w:highlight w:val="none"/>
          <w:u w:val="none"/>
        </w:rPr>
        <w:t>一级子公司按业务发展需求，合理配置资源，形成</w:t>
      </w:r>
      <w:r>
        <w:rPr>
          <w:rFonts w:hint="eastAsia" w:ascii="仿宋" w:hAnsi="仿宋" w:eastAsia="仿宋" w:cs="仿宋"/>
          <w:sz w:val="32"/>
          <w:szCs w:val="32"/>
          <w:highlight w:val="none"/>
          <w:u w:val="none"/>
          <w:lang w:eastAsia="zh-CN"/>
        </w:rPr>
        <w:t>建设公司、矿业公司、投资公司、产业公司</w:t>
      </w:r>
      <w:r>
        <w:rPr>
          <w:rFonts w:hint="eastAsia" w:ascii="仿宋" w:hAnsi="仿宋" w:eastAsia="仿宋" w:cs="仿宋"/>
          <w:sz w:val="32"/>
          <w:szCs w:val="32"/>
          <w:highlight w:val="none"/>
          <w:u w:val="none"/>
        </w:rPr>
        <w:t>四大业务板块，齐头并进，</w:t>
      </w:r>
      <w:r>
        <w:rPr>
          <w:rFonts w:hint="eastAsia" w:ascii="仿宋" w:hAnsi="仿宋" w:eastAsia="仿宋" w:cs="仿宋"/>
          <w:sz w:val="32"/>
          <w:szCs w:val="32"/>
          <w:highlight w:val="none"/>
          <w:u w:val="none"/>
          <w:lang w:eastAsia="zh-CN"/>
        </w:rPr>
        <w:t>形成产业优势，加速</w:t>
      </w:r>
      <w:r>
        <w:rPr>
          <w:rFonts w:hint="eastAsia" w:ascii="仿宋" w:hAnsi="仿宋" w:eastAsia="仿宋" w:cs="仿宋"/>
          <w:sz w:val="32"/>
          <w:szCs w:val="32"/>
          <w:highlight w:val="none"/>
          <w:u w:val="none"/>
        </w:rPr>
        <w:t>发展</w:t>
      </w:r>
      <w:r>
        <w:rPr>
          <w:rFonts w:hint="eastAsia" w:ascii="仿宋" w:hAnsi="仿宋" w:eastAsia="仿宋" w:cs="仿宋"/>
          <w:sz w:val="32"/>
          <w:szCs w:val="32"/>
          <w:highlight w:val="none"/>
          <w:u w:val="none"/>
          <w:lang w:eastAsia="zh-CN"/>
        </w:rPr>
        <w:t>。</w:t>
      </w:r>
      <w:r>
        <w:rPr>
          <w:rFonts w:hint="eastAsia" w:ascii="仿宋" w:hAnsi="仿宋" w:eastAsia="仿宋" w:cs="仿宋"/>
          <w:sz w:val="32"/>
          <w:szCs w:val="32"/>
          <w:highlight w:val="none"/>
          <w:u w:val="none"/>
          <w:lang w:val="en-US" w:eastAsia="zh-CN"/>
        </w:rPr>
        <w:t>2023年县城投集团建设产业资产规模达到65324.79万元、营业收入174.31万元；矿业产业资产规模77723.77万元；投资产业资产规模达到1776047.64万元、营业收入84703.04万元；产业公司资产规模达到1316723.04万元、营业收入5728.52万元</w:t>
      </w:r>
      <w:r>
        <w:rPr>
          <w:rFonts w:hint="eastAsia" w:ascii="仿宋" w:hAnsi="仿宋" w:eastAsia="仿宋" w:cs="仿宋"/>
          <w:sz w:val="32"/>
          <w:szCs w:val="32"/>
          <w:highlight w:val="none"/>
          <w:u w:val="none"/>
          <w:lang w:eastAsia="zh-CN"/>
        </w:rPr>
        <w:t>。</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发展集团抢占文旅产业先机按照“保护为主、抢救第一、修旧如旧、合理利用、加强管理”的方针，正结合全域旅游的开发，推动“一河两岸”提升改造，建设以河口明清古镇为主的古镇文化体验区，彰显古镇商业价值，打造铅山县历史文化名片，丰富了国企资产价值，提高了国企资产的运营效益。现已摘牌古街资产538套，房屋建筑面积5.75万平方米，预计资产价值达23亿元。</w:t>
      </w:r>
    </w:p>
    <w:p>
      <w:pPr>
        <w:ind w:firstLine="643" w:firstLineChars="200"/>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2、关于部分国有企业经营绩效不够理想问题。</w:t>
      </w:r>
      <w:r>
        <w:rPr>
          <w:rFonts w:hint="eastAsia" w:ascii="仿宋" w:hAnsi="仿宋" w:eastAsia="仿宋" w:cs="仿宋"/>
          <w:sz w:val="32"/>
          <w:szCs w:val="32"/>
          <w:lang w:val="en-US" w:eastAsia="zh-CN"/>
        </w:rPr>
        <w:t>县物业公司、县房产开发公司将积极争取政府专项专债资金扶持，加大对保障性住房和经济适用房的建设，利用好统一土地合理整合政策、坚持专项开发管理、责任到人、物尽其用的原则，由专人负责拓展和销售，推进房地产企业建设工程监理，建设工程设计，测绘服务等业务多元化经营发展，为来年提高经营效益做好谋划。针对县物业公司负债率高的问题，经了解，该公司的负债率高非经营性负债，为切实加大物业公司资产运营效益，降低资产负债率，县国资办拟将通过注资注册资本金降低物业公司的负债率，同时督促县物业公司做好安全生产，切实减少非经营性支出。</w:t>
      </w:r>
    </w:p>
    <w:p>
      <w:pPr>
        <w:numPr>
          <w:ilvl w:val="0"/>
          <w:numId w:val="0"/>
        </w:numPr>
        <w:rPr>
          <w:rFonts w:hint="eastAsia" w:ascii="黑体" w:hAnsi="黑体" w:eastAsia="黑体" w:cs="黑体"/>
          <w:sz w:val="32"/>
          <w:szCs w:val="40"/>
          <w:lang w:eastAsia="zh-CN"/>
        </w:rPr>
      </w:pPr>
      <w:r>
        <w:rPr>
          <w:rFonts w:hint="eastAsia" w:ascii="黑体" w:hAnsi="黑体" w:eastAsia="黑体" w:cs="黑体"/>
          <w:sz w:val="32"/>
          <w:szCs w:val="40"/>
          <w:lang w:eastAsia="zh-CN"/>
        </w:rPr>
        <w:t>三、关于“专业技术人才有待充实”问题</w:t>
      </w:r>
    </w:p>
    <w:p>
      <w:pPr>
        <w:spacing w:line="560" w:lineRule="exact"/>
        <w:ind w:firstLine="640" w:firstLineChars="200"/>
        <w:rPr>
          <w:rFonts w:hint="eastAsia" w:ascii="仿宋" w:hAnsi="仿宋" w:eastAsia="仿宋" w:cs="仿宋"/>
          <w:b w:val="0"/>
          <w:bCs w:val="0"/>
          <w:snapToGrid w:val="0"/>
          <w:color w:val="000000" w:themeColor="text1"/>
          <w:kern w:val="0"/>
          <w:sz w:val="32"/>
          <w:szCs w:val="32"/>
          <w:highlight w:val="none"/>
          <w:shd w:val="clear" w:color="auto" w:fill="FFFFFF"/>
          <w:lang w:eastAsia="zh-CN" w:bidi="ar"/>
          <w14:textFill>
            <w14:solidFill>
              <w14:schemeClr w14:val="tx1"/>
            </w14:solidFill>
          </w14:textFill>
        </w:rPr>
      </w:pPr>
      <w:r>
        <w:rPr>
          <w:rFonts w:hint="eastAsia" w:ascii="仿宋" w:hAnsi="仿宋" w:eastAsia="仿宋" w:cs="仿宋"/>
          <w:b w:val="0"/>
          <w:bCs w:val="0"/>
          <w:snapToGrid w:val="0"/>
          <w:color w:val="000000" w:themeColor="text1"/>
          <w:kern w:val="0"/>
          <w:sz w:val="32"/>
          <w:szCs w:val="32"/>
          <w:highlight w:val="none"/>
          <w:shd w:val="clear" w:color="auto" w:fill="FFFFFF"/>
          <w:lang w:val="en-US" w:eastAsia="zh-CN" w:bidi="ar"/>
          <w14:textFill>
            <w14:solidFill>
              <w14:schemeClr w14:val="tx1"/>
            </w14:solidFill>
          </w14:textFill>
        </w:rPr>
        <w:t>2023年，县城投集团通过政府人才引进措施，引进了高级财务人才1名、金融行业高级人才1名负责集团财务和融资业务，享受集团高管待遇；通过公开招聘招聘了法律专业、审计专业、金融专业、建筑专业6人。发展集团通过人才引进措施引进金融类高管人才1名，负责集团金融业务；根据业务需要通过委托第三方招聘硕士1人、一级建造师4人、二级建造师4人均充实到相关岗位。尽管如此，专业人才仍是企业发展的迫切需求，进一步</w:t>
      </w:r>
      <w:r>
        <w:rPr>
          <w:rFonts w:hint="eastAsia" w:ascii="仿宋" w:hAnsi="仿宋" w:eastAsia="仿宋" w:cs="仿宋"/>
          <w:b w:val="0"/>
          <w:bCs w:val="0"/>
          <w:snapToGrid w:val="0"/>
          <w:color w:val="000000" w:themeColor="text1"/>
          <w:kern w:val="0"/>
          <w:sz w:val="32"/>
          <w:szCs w:val="32"/>
          <w:highlight w:val="none"/>
          <w:shd w:val="clear" w:color="auto" w:fill="FFFFFF"/>
          <w:lang w:eastAsia="zh-CN" w:bidi="ar"/>
          <w14:textFill>
            <w14:solidFill>
              <w14:schemeClr w14:val="tx1"/>
            </w14:solidFill>
          </w14:textFill>
        </w:rPr>
        <w:t>完善企业用人机制和薪酬考核机制用以激励各类人才干事创业激情是企业所亟待破解的难点，县政府将责成相关部门指导、督促县属国有企业建立、完善相关机制破解人才缺乏的难点难题。</w:t>
      </w:r>
    </w:p>
    <w:p>
      <w:pPr>
        <w:spacing w:line="580" w:lineRule="exact"/>
        <w:ind w:firstLine="643" w:firstLineChars="200"/>
        <w:rPr>
          <w:rFonts w:hint="eastAsia" w:ascii="仿宋" w:hAnsi="仿宋" w:eastAsia="仿宋" w:cs="仿宋"/>
          <w:sz w:val="32"/>
          <w:szCs w:val="32"/>
        </w:rPr>
      </w:pPr>
      <w:r>
        <w:rPr>
          <w:rFonts w:hint="eastAsia" w:ascii="仿宋_GB2312" w:hAnsi="仿宋_GB2312" w:eastAsia="仿宋_GB2312" w:cs="仿宋_GB2312"/>
          <w:b/>
          <w:bCs/>
          <w:sz w:val="32"/>
          <w:szCs w:val="40"/>
          <w:lang w:eastAsia="zh-CN"/>
        </w:rPr>
        <w:t>一是完善</w:t>
      </w:r>
      <w:r>
        <w:rPr>
          <w:rFonts w:hint="eastAsia" w:ascii="仿宋" w:hAnsi="仿宋" w:eastAsia="仿宋" w:cs="仿宋"/>
          <w:b/>
          <w:bCs/>
          <w:color w:val="0D0D0D" w:themeColor="text1" w:themeTint="F2"/>
          <w:sz w:val="32"/>
          <w:szCs w:val="32"/>
          <w:lang w:val="en-US" w:eastAsia="zh-CN"/>
          <w14:textFill>
            <w14:solidFill>
              <w14:schemeClr w14:val="tx1">
                <w14:lumMod w14:val="95000"/>
                <w14:lumOff w14:val="5000"/>
              </w14:schemeClr>
            </w14:solidFill>
          </w14:textFill>
        </w:rPr>
        <w:t>县属国有企业考核考评机制。</w:t>
      </w:r>
      <w:r>
        <w:rPr>
          <w:rFonts w:hint="eastAsia" w:ascii="仿宋" w:hAnsi="仿宋" w:eastAsia="仿宋" w:cs="仿宋"/>
          <w:sz w:val="32"/>
          <w:szCs w:val="32"/>
        </w:rPr>
        <w:t>持续深入推进</w:t>
      </w:r>
      <w:r>
        <w:rPr>
          <w:rFonts w:hint="eastAsia" w:ascii="仿宋" w:hAnsi="仿宋" w:eastAsia="仿宋" w:cs="仿宋"/>
          <w:sz w:val="32"/>
          <w:szCs w:val="32"/>
          <w:lang w:eastAsia="zh-CN"/>
        </w:rPr>
        <w:t>县</w:t>
      </w:r>
      <w:r>
        <w:rPr>
          <w:rFonts w:hint="eastAsia" w:ascii="仿宋" w:hAnsi="仿宋" w:eastAsia="仿宋" w:cs="仿宋"/>
          <w:sz w:val="32"/>
          <w:szCs w:val="32"/>
        </w:rPr>
        <w:t>属国有企业人事、劳动、分配三项制度改革，完善企业用工管理办法，研究用工总量和工资总额双控管理模式，</w:t>
      </w:r>
      <w:r>
        <w:rPr>
          <w:rFonts w:hint="eastAsia" w:ascii="仿宋" w:hAnsi="仿宋" w:eastAsia="仿宋" w:cs="仿宋"/>
          <w:sz w:val="32"/>
          <w:szCs w:val="32"/>
          <w:lang w:eastAsia="zh-CN"/>
        </w:rPr>
        <w:t>实行“一企一策”、</w:t>
      </w:r>
      <w:r>
        <w:rPr>
          <w:rFonts w:hint="eastAsia" w:ascii="仿宋" w:hAnsi="仿宋" w:eastAsia="仿宋" w:cs="仿宋"/>
          <w:sz w:val="32"/>
          <w:szCs w:val="32"/>
        </w:rPr>
        <w:t>树立“以业绩论英雄”导向，实现“业绩升薪酬升、业绩降薪酬降”，职位能上能下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将考核与薪酬进行挂钩，与工作岗位挂钩。</w:t>
      </w:r>
    </w:p>
    <w:p>
      <w:pPr>
        <w:spacing w:line="560" w:lineRule="exact"/>
        <w:ind w:firstLine="643" w:firstLineChars="200"/>
        <w:rPr>
          <w:rFonts w:hint="eastAsia" w:ascii="仿宋" w:hAnsi="仿宋" w:eastAsia="仿宋" w:cs="仿宋"/>
          <w:b w:val="0"/>
          <w:bCs w:val="0"/>
          <w:snapToGrid w:val="0"/>
          <w:color w:val="000000" w:themeColor="text1"/>
          <w:kern w:val="0"/>
          <w:sz w:val="32"/>
          <w:szCs w:val="32"/>
          <w:highlight w:val="none"/>
          <w:shd w:val="clear" w:color="auto" w:fill="FFFFFF"/>
          <w:lang w:bidi="ar"/>
          <w14:textFill>
            <w14:solidFill>
              <w14:schemeClr w14:val="tx1"/>
            </w14:solidFill>
          </w14:textFill>
        </w:rPr>
      </w:pPr>
      <w:r>
        <w:rPr>
          <w:rFonts w:hint="eastAsia" w:ascii="仿宋_GB2312" w:hAnsi="仿宋_GB2312" w:eastAsia="仿宋_GB2312" w:cs="仿宋_GB2312"/>
          <w:b/>
          <w:bCs/>
          <w:sz w:val="32"/>
          <w:szCs w:val="40"/>
          <w:lang w:eastAsia="zh-CN"/>
        </w:rPr>
        <w:t>二是完善国有企业用人机制</w:t>
      </w:r>
      <w:r>
        <w:rPr>
          <w:rFonts w:hint="eastAsia" w:ascii="仿宋_GB2312" w:hAnsi="仿宋_GB2312" w:eastAsia="仿宋_GB2312" w:cs="仿宋_GB2312"/>
          <w:b w:val="0"/>
          <w:bCs w:val="0"/>
          <w:sz w:val="32"/>
          <w:szCs w:val="40"/>
          <w:lang w:eastAsia="zh-CN"/>
        </w:rPr>
        <w:t>。</w:t>
      </w:r>
      <w:r>
        <w:rPr>
          <w:rFonts w:hint="eastAsia" w:ascii="仿宋" w:hAnsi="仿宋" w:eastAsia="仿宋" w:cs="仿宋"/>
          <w:b w:val="0"/>
          <w:bCs w:val="0"/>
          <w:snapToGrid w:val="0"/>
          <w:color w:val="000000" w:themeColor="text1"/>
          <w:kern w:val="0"/>
          <w:sz w:val="32"/>
          <w:szCs w:val="32"/>
          <w:highlight w:val="none"/>
          <w:shd w:val="clear" w:color="auto" w:fill="FFFFFF"/>
          <w:lang w:bidi="ar"/>
          <w14:textFill>
            <w14:solidFill>
              <w14:schemeClr w14:val="tx1"/>
            </w14:solidFill>
          </w14:textFill>
        </w:rPr>
        <w:t>按照“人员能进能出、人员能上能下、收入能增能减，选人用人市场化、经营管理契约化、薪酬分配市场化”的要求，完善市场化选人用人机制和薪酬分配机制，不断提升</w:t>
      </w:r>
      <w:r>
        <w:rPr>
          <w:rFonts w:hint="eastAsia" w:ascii="仿宋" w:hAnsi="仿宋" w:eastAsia="仿宋" w:cs="仿宋"/>
          <w:b w:val="0"/>
          <w:bCs w:val="0"/>
          <w:snapToGrid w:val="0"/>
          <w:color w:val="000000" w:themeColor="text1"/>
          <w:kern w:val="0"/>
          <w:sz w:val="32"/>
          <w:szCs w:val="32"/>
          <w:highlight w:val="none"/>
          <w:shd w:val="clear" w:color="auto" w:fill="FFFFFF"/>
          <w:lang w:eastAsia="zh-CN" w:bidi="ar"/>
          <w14:textFill>
            <w14:solidFill>
              <w14:schemeClr w14:val="tx1"/>
            </w14:solidFill>
          </w14:textFill>
        </w:rPr>
        <w:t>国有企业</w:t>
      </w:r>
      <w:r>
        <w:rPr>
          <w:rFonts w:hint="eastAsia" w:ascii="仿宋" w:hAnsi="仿宋" w:eastAsia="仿宋" w:cs="仿宋"/>
          <w:b w:val="0"/>
          <w:bCs w:val="0"/>
          <w:snapToGrid w:val="0"/>
          <w:color w:val="000000" w:themeColor="text1"/>
          <w:kern w:val="0"/>
          <w:sz w:val="32"/>
          <w:szCs w:val="32"/>
          <w:highlight w:val="none"/>
          <w:shd w:val="clear" w:color="auto" w:fill="FFFFFF"/>
          <w:lang w:bidi="ar"/>
          <w14:textFill>
            <w14:solidFill>
              <w14:schemeClr w14:val="tx1"/>
            </w14:solidFill>
          </w14:textFill>
        </w:rPr>
        <w:t>市场化运营活力。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rPr>
        <w:t>主任</w:t>
      </w:r>
      <w:r>
        <w:rPr>
          <w:rFonts w:hint="eastAsia" w:ascii="仿宋" w:hAnsi="仿宋" w:eastAsia="仿宋" w:cs="仿宋"/>
          <w:sz w:val="32"/>
          <w:szCs w:val="32"/>
          <w:lang w:eastAsia="zh-CN"/>
        </w:rPr>
        <w:t>、</w:t>
      </w:r>
      <w:r>
        <w:rPr>
          <w:rFonts w:hint="eastAsia" w:ascii="仿宋" w:hAnsi="仿宋" w:eastAsia="仿宋" w:cs="仿宋"/>
          <w:sz w:val="32"/>
          <w:szCs w:val="32"/>
        </w:rPr>
        <w:t>副主任</w:t>
      </w:r>
      <w:r>
        <w:rPr>
          <w:rFonts w:hint="eastAsia" w:ascii="仿宋" w:hAnsi="仿宋" w:eastAsia="仿宋" w:cs="仿宋"/>
          <w:sz w:val="32"/>
          <w:szCs w:val="32"/>
          <w:lang w:eastAsia="zh-CN"/>
        </w:rPr>
        <w:t>、</w:t>
      </w:r>
      <w:r>
        <w:rPr>
          <w:rFonts w:hint="eastAsia" w:ascii="仿宋" w:hAnsi="仿宋" w:eastAsia="仿宋" w:cs="仿宋"/>
          <w:sz w:val="32"/>
          <w:szCs w:val="32"/>
        </w:rPr>
        <w:t>各位委员</w:t>
      </w:r>
      <w:r>
        <w:rPr>
          <w:rFonts w:hint="eastAsia" w:ascii="仿宋" w:hAnsi="仿宋" w:eastAsia="仿宋" w:cs="仿宋"/>
          <w:sz w:val="32"/>
          <w:szCs w:val="32"/>
          <w:lang w:eastAsia="zh-CN"/>
        </w:rPr>
        <w:t>：</w:t>
      </w:r>
      <w:r>
        <w:rPr>
          <w:rFonts w:hint="eastAsia" w:ascii="仿宋" w:hAnsi="仿宋" w:eastAsia="仿宋" w:cs="仿宋"/>
          <w:sz w:val="32"/>
          <w:szCs w:val="32"/>
        </w:rPr>
        <w:t>国资管理工作责任重大、使命光荣</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我们将从习近平</w:t>
      </w:r>
      <w:bookmarkStart w:id="0" w:name="_GoBack"/>
      <w:bookmarkEnd w:id="0"/>
      <w:r>
        <w:rPr>
          <w:rFonts w:hint="eastAsia" w:ascii="仿宋" w:hAnsi="仿宋" w:eastAsia="仿宋" w:cs="仿宋"/>
          <w:kern w:val="2"/>
          <w:sz w:val="32"/>
          <w:szCs w:val="32"/>
          <w:lang w:val="en-US" w:eastAsia="zh-CN" w:bidi="ar-SA"/>
        </w:rPr>
        <w:t>总书记考察江西重要讲话中找定位，聚力量，谋思路，遵照“走在前，勇争先，善作为”的指示谋划和推进国资国企改革发展，</w:t>
      </w:r>
      <w:r>
        <w:rPr>
          <w:rFonts w:hint="eastAsia" w:ascii="仿宋" w:hAnsi="仿宋" w:eastAsia="仿宋" w:cs="仿宋"/>
          <w:sz w:val="32"/>
          <w:szCs w:val="32"/>
        </w:rPr>
        <w:t>在县人大常委会的监督支持下，</w:t>
      </w:r>
      <w:r>
        <w:rPr>
          <w:rFonts w:hint="eastAsia" w:ascii="仿宋_GB2312" w:hAnsi="仿宋_GB2312" w:eastAsia="仿宋_GB2312" w:cs="仿宋_GB2312"/>
          <w:sz w:val="32"/>
          <w:szCs w:val="32"/>
          <w:lang w:val="en-US" w:eastAsia="zh-CN"/>
        </w:rPr>
        <w:t>以市场化、实体化、效益化为目标，着力构建布局更加合理、机制更加完善、监管更加高效、实力更加强大、贡献更加明显的国资国企新格局。</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0" w:right="0" w:rightChars="0" w:firstLine="640" w:firstLineChars="200"/>
        <w:jc w:val="left"/>
        <w:textAlignment w:val="top"/>
        <w:rPr>
          <w:rFonts w:hint="eastAsia" w:ascii="仿宋" w:hAnsi="仿宋" w:eastAsia="仿宋" w:cs="仿宋"/>
          <w:kern w:val="2"/>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line="54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_GB2312" w:hAnsi="仿宋_GB2312" w:eastAsia="仿宋_GB2312" w:cs="仿宋_GB2312"/>
          <w:sz w:val="32"/>
          <w:szCs w:val="40"/>
          <w:lang w:eastAsia="zh-CN"/>
        </w:rPr>
      </w:pPr>
    </w:p>
    <w:p>
      <w:pPr>
        <w:ind w:firstLine="640"/>
        <w:rPr>
          <w:rFonts w:hint="eastAsia" w:ascii="仿宋_GB2312" w:hAnsi="仿宋_GB2312" w:eastAsia="仿宋_GB2312" w:cs="仿宋_GB2312"/>
          <w:sz w:val="32"/>
          <w:szCs w:val="40"/>
          <w:lang w:eastAsia="zh-CN"/>
        </w:rPr>
      </w:pPr>
    </w:p>
    <w:p/>
    <w:sectPr>
      <w:footerReference r:id="rId3" w:type="default"/>
      <w:pgSz w:w="11906" w:h="16838"/>
      <w:pgMar w:top="1474" w:right="1474" w:bottom="1474" w:left="1474" w:header="851" w:footer="992" w:gutter="0"/>
      <w:cols w:space="720" w:num="1"/>
      <w:rtlGutter w:val="0"/>
      <w:docGrid w:type="lines" w:linePitch="6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06420"/>
    <w:multiLevelType w:val="singleLevel"/>
    <w:tmpl w:val="C5B06420"/>
    <w:lvl w:ilvl="0" w:tentative="0">
      <w:start w:val="1"/>
      <w:numFmt w:val="decimal"/>
      <w:suff w:val="nothing"/>
      <w:lvlText w:val="%1、"/>
      <w:lvlJc w:val="left"/>
    </w:lvl>
  </w:abstractNum>
  <w:abstractNum w:abstractNumId="1">
    <w:nsid w:val="5BE4C111"/>
    <w:multiLevelType w:val="singleLevel"/>
    <w:tmpl w:val="5BE4C111"/>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zMzMyOGQ0NGQ4OWYwYTJhYmIzNTQ3MzIyZjNiN2EifQ=="/>
  </w:docVars>
  <w:rsids>
    <w:rsidRoot w:val="189C50BE"/>
    <w:rsid w:val="00675890"/>
    <w:rsid w:val="00FA2DD8"/>
    <w:rsid w:val="017A6B6B"/>
    <w:rsid w:val="04C66D70"/>
    <w:rsid w:val="059C69EB"/>
    <w:rsid w:val="0B0E346C"/>
    <w:rsid w:val="0B902AD5"/>
    <w:rsid w:val="0D5D184B"/>
    <w:rsid w:val="0F3350CB"/>
    <w:rsid w:val="10282E1A"/>
    <w:rsid w:val="13BD743A"/>
    <w:rsid w:val="14E31122"/>
    <w:rsid w:val="15A9411A"/>
    <w:rsid w:val="189C50BE"/>
    <w:rsid w:val="196330DB"/>
    <w:rsid w:val="1A9F0C09"/>
    <w:rsid w:val="1ADD3804"/>
    <w:rsid w:val="1B2A3F6B"/>
    <w:rsid w:val="1E5B2BA9"/>
    <w:rsid w:val="1EA840ED"/>
    <w:rsid w:val="231F4E1A"/>
    <w:rsid w:val="247B53ED"/>
    <w:rsid w:val="293E387B"/>
    <w:rsid w:val="2944621D"/>
    <w:rsid w:val="2AA50C7B"/>
    <w:rsid w:val="30341467"/>
    <w:rsid w:val="34354FD7"/>
    <w:rsid w:val="3754426A"/>
    <w:rsid w:val="39413F48"/>
    <w:rsid w:val="3A4456D0"/>
    <w:rsid w:val="3E700F9B"/>
    <w:rsid w:val="407D5590"/>
    <w:rsid w:val="40E40E98"/>
    <w:rsid w:val="4A0E1458"/>
    <w:rsid w:val="4A953D04"/>
    <w:rsid w:val="4AB42243"/>
    <w:rsid w:val="4B413ED2"/>
    <w:rsid w:val="4E5E3019"/>
    <w:rsid w:val="503F5707"/>
    <w:rsid w:val="51AC653A"/>
    <w:rsid w:val="51C97099"/>
    <w:rsid w:val="51EB2E23"/>
    <w:rsid w:val="53574A06"/>
    <w:rsid w:val="5961254B"/>
    <w:rsid w:val="5DAA2594"/>
    <w:rsid w:val="5E802B0B"/>
    <w:rsid w:val="5E886793"/>
    <w:rsid w:val="61662CBD"/>
    <w:rsid w:val="61B945E1"/>
    <w:rsid w:val="630239A5"/>
    <w:rsid w:val="654C0EB2"/>
    <w:rsid w:val="67F42678"/>
    <w:rsid w:val="69720712"/>
    <w:rsid w:val="6C2B13F5"/>
    <w:rsid w:val="70274864"/>
    <w:rsid w:val="74820124"/>
    <w:rsid w:val="77E93077"/>
    <w:rsid w:val="7B2F5880"/>
    <w:rsid w:val="7D1F2D8B"/>
    <w:rsid w:val="7F143ACF"/>
    <w:rsid w:val="7F153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3"/>
    <w:autoRedefine/>
    <w:qFormat/>
    <w:uiPriority w:val="0"/>
    <w:rPr>
      <w:rFonts w:ascii="宋体" w:hAnsi="Courier New" w:eastAsia="宋体" w:cs="Courier New"/>
      <w:szCs w:val="21"/>
    </w:rPr>
  </w:style>
  <w:style w:type="paragraph" w:styleId="3">
    <w:name w:val="header"/>
    <w:basedOn w:val="1"/>
    <w:next w:val="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4">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Body Text"/>
    <w:basedOn w:val="1"/>
    <w:link w:val="12"/>
    <w:qFormat/>
    <w:uiPriority w:val="0"/>
    <w:pPr>
      <w:autoSpaceDE w:val="0"/>
      <w:autoSpaceDN w:val="0"/>
    </w:pPr>
    <w:rPr>
      <w:rFonts w:ascii="宋体" w:hAnsi="宋体" w:eastAsia="宋体" w:cs="宋体"/>
      <w:sz w:val="32"/>
      <w:szCs w:val="32"/>
      <w:lang w:val="zh-CN" w:bidi="zh-CN"/>
    </w:rPr>
  </w:style>
  <w:style w:type="paragraph" w:styleId="6">
    <w:name w:val="Block Text"/>
    <w:basedOn w:val="1"/>
    <w:autoRedefine/>
    <w:qFormat/>
    <w:uiPriority w:val="99"/>
    <w:pPr>
      <w:ind w:left="1440" w:leftChars="700" w:right="700" w:rightChars="700"/>
    </w:pPr>
  </w:style>
  <w:style w:type="paragraph" w:styleId="7">
    <w:name w:val="Body Text Indent 2"/>
    <w:basedOn w:val="1"/>
    <w:autoRedefine/>
    <w:qFormat/>
    <w:uiPriority w:val="0"/>
    <w:pPr>
      <w:spacing w:line="480" w:lineRule="auto"/>
      <w:ind w:left="420" w:leftChars="200"/>
    </w:p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lockQuote"/>
    <w:basedOn w:val="1"/>
    <w:autoRedefine/>
    <w:qFormat/>
    <w:uiPriority w:val="0"/>
    <w:pPr>
      <w:ind w:left="1440" w:leftChars="700" w:right="700" w:rightChars="700"/>
      <w:jc w:val="both"/>
      <w:textAlignment w:val="baseline"/>
    </w:pPr>
    <w:rPr>
      <w:rFonts w:ascii="Times New Roman" w:hAnsi="Times New Roman" w:eastAsia="宋体" w:cs="Times New Roman"/>
    </w:rPr>
  </w:style>
  <w:style w:type="character" w:customStyle="1" w:styleId="12">
    <w:name w:val="正文文本 Char"/>
    <w:link w:val="5"/>
    <w:qFormat/>
    <w:uiPriority w:val="0"/>
    <w:rPr>
      <w:rFonts w:ascii="宋体" w:hAnsi="宋体" w:eastAsia="宋体" w:cs="宋体"/>
      <w:sz w:val="32"/>
      <w:szCs w:val="3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2023-12-25T03:44:00Z</dcterms:created>
  <dc:creator>admin</dc:creator>
  <cp:lastModifiedBy>Aaron</cp:lastModifiedBy>
  <dcterms:modified xsi:type="dcterms:W3CDTF">2024-03-28T03:22:59Z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E2D60AF61C0B49A28317D2C700BABE42_13</vt:lpwstr>
  </property>
</Properties>
</file>