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sz w:val="40"/>
          <w:szCs w:val="32"/>
        </w:rPr>
      </w:pPr>
      <w:r>
        <w:rPr>
          <w:rFonts w:hint="eastAsia"/>
          <w:sz w:val="40"/>
          <w:szCs w:val="32"/>
        </w:rPr>
        <w:t>202</w:t>
      </w:r>
      <w:r>
        <w:rPr>
          <w:rFonts w:hint="eastAsia"/>
          <w:sz w:val="40"/>
          <w:szCs w:val="32"/>
          <w:lang w:val="en-US" w:eastAsia="zh-CN"/>
        </w:rPr>
        <w:t>3</w:t>
      </w:r>
      <w:r>
        <w:rPr>
          <w:rFonts w:hint="eastAsia"/>
          <w:sz w:val="40"/>
          <w:szCs w:val="32"/>
        </w:rPr>
        <w:t>年度葛仙山镇人民政府信息公开年报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本报告根据《中华人民共和国政府信息公开条例》（以下简称《条例》）和国办公开办函〔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2021〕30号规定，由葛仙山镇结合有关统计数据编制。本报告共有总体情况、主动公开政府信息情况、收到和处理政府信息公开申请情况、政府信息公开行政复议和行政诉讼情况、存在的主要问题及改进情况、其他需要报告的事项等六部分。本报告电子版可在铅山县人民政府门户网站（网址：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www.jxyanshan.gov.cn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）查询。数据统计期限从202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年1月1日至12月31日止。如对本报告有任何疑问，请与葛仙山镇人民政府党政办公室联系（地址：江西省铅山县葛仙山镇文计大楼，电话：0793-5392296，邮编：334508）。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为了更好地提供政府信息公开服务，根据《中华人民共和国政府信息公开条例》，2023年12月30日更新并公开了《铅山县葛仙山镇政府信息公开指南（2023年）》，对公开内容及内容获取方式作了详细的说明，以更好地指导政府信息公开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2023年，我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坚持以习近平新时代中国特色社会主义思想为指导，深入学习贯彻党的二十大精神，在省委、省政府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市委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和县委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的坚强领导下，不断提高政务公开质量和水平，助力深化“五型”政府建设，大力提升政府信息公开质量，有效搭建服务群众的桥梁，不断增强政府信息公开实效。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年，按照《条例》要求，葛仙山镇围绕中心工作，突出重点公开，通过集约化信息平台依法依规、及时准确向社会公开各类政府信息。202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年在政府信息公开平台累计发布信息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127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条，涉及工作动态、政策法规、信息公开、财务资金等，其中概况信息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条，政策法规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条，工作动态信息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86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条，人事信息1条，财政信息1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条，公开年报1条等。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（一）主动公开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决策公开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推进决策、执行和落实情况公开，提高社会参与度与关注度。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管理公开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推行权责清单、清单动态调整公开制度、行政执法公示制度，在行政审批、行政事项办理、取消的方面做到及时更新、及时办理。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服务公开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为贯彻落实好《中华人民共和国政府信息公开条例》，切实做好政府信息公开工作，我镇高度重视，由党政办主任牵头政府信息公开工作，党政办公室专人具体报送政府信息公开内容，工作责任落实到单位、具体到人员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4.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结果公开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政府工作报告及本年度规划1条、建议提案办理0条。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执行公开（重点领域信息公开）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年度财政预决算及时公开、建设工程项目招投标公告按照规定时间在政务信息公开网发布，做到及时公开，执行规范。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（二）依申请公开政府信息情况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2022年，葛仙山镇收到政府信息公开申请0件。未发生政府信息公开行政复议、起诉。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（三）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加强政府信息管理。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为贯彻落实好《条例》，持续强化政府信息公开工作领导，建立健全政府信息发布审核机制，严格规范信息发布审核流程，落实“先审后发”和“涉密信息不上网，上网信息不涉密”的工作要求，发布前进行内容审核和保密审查，确保信息发布的权威性、安全性和公信力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（四）强化公开平台建设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葛仙山镇紧紧围绕经济社会发展和人民群众关注关切，强化门户网站信息公开主平台作用，通过消息资源整合，全面提升政务公开信息化、集中化水平，更大程度地满足群众和企业对政务信息的需求。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（五）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监督保障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3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</w:rPr>
        <w:t>葛仙山镇按要求完成政务公开各项考核工作，及时处理政府信息公开工作中出现的各项问题。强化组织保障，做好政府信息发布管理等基础性工作，以制度化建设提升公开的质量和实效。 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二、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主动公开政府信息情况</w:t>
      </w:r>
    </w:p>
    <w:tbl>
      <w:tblPr>
        <w:tblW w:w="83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90"/>
        <w:gridCol w:w="2090"/>
        <w:gridCol w:w="2090"/>
        <w:gridCol w:w="20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制发件数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本年废止件数</w:t>
            </w:r>
          </w:p>
        </w:tc>
        <w:tc>
          <w:tcPr>
            <w:tcW w:w="20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规章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行政规范性文件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  <w:tc>
          <w:tcPr>
            <w:tcW w:w="20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行政许可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Calibri" w:hAnsi="Calibri" w:eastAsia="宋体" w:cs="Calibri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行政处罚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行政强制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836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信息内容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</w:trPr>
        <w:tc>
          <w:tcPr>
            <w:tcW w:w="209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行政事业性收费</w:t>
            </w:r>
          </w:p>
        </w:tc>
        <w:tc>
          <w:tcPr>
            <w:tcW w:w="62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三、收到和处理政府信息公开申请情况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tbl>
      <w:tblPr>
        <w:tblW w:w="8699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7"/>
        <w:gridCol w:w="846"/>
        <w:gridCol w:w="2862"/>
        <w:gridCol w:w="614"/>
        <w:gridCol w:w="614"/>
        <w:gridCol w:w="614"/>
        <w:gridCol w:w="614"/>
        <w:gridCol w:w="614"/>
        <w:gridCol w:w="618"/>
        <w:gridCol w:w="6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3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30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3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自然人</w:t>
            </w:r>
          </w:p>
        </w:tc>
        <w:tc>
          <w:tcPr>
            <w:tcW w:w="307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43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商业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企业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科研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机构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社会公益组织</w:t>
            </w:r>
          </w:p>
        </w:tc>
        <w:tc>
          <w:tcPr>
            <w:tcW w:w="6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法律服务机构</w:t>
            </w:r>
          </w:p>
        </w:tc>
        <w:tc>
          <w:tcPr>
            <w:tcW w:w="6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3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43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三、本年度办理结果</w:t>
            </w: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（一）予以公开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（三）不予公开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属于国家秘密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其他法律行政法规禁止公开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危及“三安全一稳定”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保护第三方合法权益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属于三类内部事务信息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属于四类过程性信息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属于行政执法案卷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属于行政查询事项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（四）无法提供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本机关不掌握相关政府信息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没有现成信息需要另行制作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补正后申请内容仍不明确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（五）不予处理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信访举报投诉类申请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要求提供公开出版物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无正当理由大量反复申请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2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要求行政机关确认或重新出具已获取信息</w:t>
            </w:r>
          </w:p>
        </w:tc>
        <w:tc>
          <w:tcPr>
            <w:tcW w:w="6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（六）其他处理</w:t>
            </w: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申请人无正当理由逾期不补正、行政机关不再处理其政府信息公开申请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3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申请人逾期未按收费通知要求缴纳费用、行政机关不再处理其政府信息公开申请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8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其他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68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7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（七）总计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3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四、结转下年度继续办理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center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 </w:t>
            </w: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57" w:type="dxa"/>
              <w:right w:w="57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shd w:val="clear" w:fill="FFFFFF"/>
                <w:lang w:val="en-US" w:eastAsia="zh-CN" w:bidi="ar"/>
              </w:rPr>
              <w:t>0</w:t>
            </w:r>
          </w:p>
        </w:tc>
      </w:tr>
    </w:tbl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四、政府信息公开行政复议、行政诉讼情况</w:t>
      </w:r>
    </w:p>
    <w:tbl>
      <w:tblPr>
        <w:tblW w:w="9071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 0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0 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left"/>
            </w:pPr>
            <w:r>
              <w:rPr>
                <w:rFonts w:hint="default" w:ascii="Times New Roman" w:hAnsi="Times New Roman" w:eastAsia="宋体" w:cs="Times New Roman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7"/>
          <w:szCs w:val="27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643" w:firstLineChars="200"/>
        <w:jc w:val="both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五、存在的主要问题及改进情况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（1）2023年政府信息公开工作中存在的主要问题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 1、日常事项公开时效性需进一步提高；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     2、工作业务水平仍待提高，政务公开工作政策性要求比较高，涉及范围广，但工作人员经常变动，做好对接，并且加强业务培训。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0" w:firstLineChars="20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（2）下一步改进措施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1、及时更新政府信息，坚持及时、高效、依法公开；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2、进一步规范信息公开工作制度，做到职责明确、措施得当、运作规范、确保工作有序、高效进行；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textAlignment w:val="baseline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3、进一步做好业务培训。做好工作交接，提升政府信息与政务公开整体工作水平，促进我镇政政务公开工作更加规范、更加高效。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jc w:val="both"/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六、其他需要报告的事项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2023年，本机关没有对公民、法人和其他组织政府信息公开收费及减免情况。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BA6877"/>
    <w:rsid w:val="35DC4CDA"/>
    <w:rsid w:val="39BA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Office_11.8.2.12089_F1E327BC-269C-435d-A152-05C5408002CA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2024-01-15T06:58:00Z</dcterms:created>
  <dc:creator>Administrator</dc:creator>
  <cp:lastModifiedBy>Administrator</cp:lastModifiedBy>
  <dcterms:modified xsi:type="dcterms:W3CDTF">2024-01-15T07:42:48Z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2052-11.8.2.12089</vt:lpwstr>
  </property>
  <property fmtid="{D5CDD505-2E9C-101B-9397-08002B2CF9AE}" pid="3" name="ICV">
    <vt:lpwstr>198EB86048174670AAE77045BD465FAD</vt:lpwstr>
  </property>
</Properties>
</file>