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firstLine="0"/>
        <w:jc w:val="center"/>
        <w:rPr>
          <w:rFonts w:ascii="微软雅黑" w:hAnsi="微软雅黑" w:eastAsia="微软雅黑" w:cs="微软雅黑"/>
          <w:b/>
          <w:bCs/>
          <w:i w:val="0"/>
          <w:iCs w:val="0"/>
          <w:caps w:val="0"/>
          <w:color w:val="333333"/>
          <w:spacing w:val="0"/>
          <w:sz w:val="42"/>
          <w:szCs w:val="42"/>
        </w:rPr>
      </w:pPr>
      <w:bookmarkStart w:id="0" w:name="_GoBack"/>
      <w:r>
        <w:rPr>
          <w:rFonts w:hint="eastAsia" w:ascii="微软雅黑" w:hAnsi="微软雅黑" w:eastAsia="微软雅黑" w:cs="微软雅黑"/>
          <w:b/>
          <w:bCs/>
          <w:i w:val="0"/>
          <w:iCs w:val="0"/>
          <w:caps w:val="0"/>
          <w:color w:val="333333"/>
          <w:spacing w:val="0"/>
          <w:kern w:val="0"/>
          <w:sz w:val="42"/>
          <w:szCs w:val="42"/>
          <w:bdr w:val="none" w:color="auto" w:sz="0" w:space="0"/>
          <w:lang w:val="en-US" w:eastAsia="zh-CN" w:bidi="ar"/>
        </w:rPr>
        <w:t>国家税务总局江西省税务局关于调整房地产开发经营企业销售未完工开发产品计税毛利率的公告</w:t>
      </w:r>
    </w:p>
    <w:bookmarkEnd w:id="0"/>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715"/>
        <w:gridCol w:w="2017"/>
        <w:gridCol w:w="1577"/>
        <w:gridCol w:w="720"/>
        <w:gridCol w:w="1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1250" w:type="pct"/>
            <w:shd w:val="clear"/>
            <w:tcMar>
              <w:left w:w="150" w:type="dxa"/>
              <w:right w:w="150" w:type="dxa"/>
            </w:tcMar>
            <w:vAlign w:val="center"/>
          </w:tcPr>
          <w:p>
            <w:pPr>
              <w:keepNext w:val="0"/>
              <w:keepLines w:val="0"/>
              <w:widowControl/>
              <w:suppressLineNumbers w:val="0"/>
              <w:spacing w:before="0" w:beforeAutospacing="0" w:after="0" w:afterAutospacing="0"/>
              <w:ind w:left="0" w:right="0"/>
              <w:jc w:val="left"/>
              <w:rPr>
                <w:color w:val="999999"/>
                <w:sz w:val="21"/>
                <w:szCs w:val="21"/>
              </w:rPr>
            </w:pPr>
            <w:r>
              <w:rPr>
                <w:rFonts w:ascii="宋体" w:hAnsi="宋体" w:eastAsia="宋体" w:cs="宋体"/>
                <w:color w:val="999999"/>
                <w:kern w:val="0"/>
                <w:sz w:val="21"/>
                <w:szCs w:val="21"/>
                <w:bdr w:val="none" w:color="auto" w:sz="0" w:space="0"/>
                <w:lang w:val="en-US" w:eastAsia="zh-CN" w:bidi="ar"/>
              </w:rPr>
              <w:t>发布时间 : 2022-07-26 17:12</w:t>
            </w:r>
          </w:p>
        </w:tc>
        <w:tc>
          <w:tcPr>
            <w:tcW w:w="1250" w:type="pct"/>
            <w:shd w:val="clear"/>
            <w:tcMar>
              <w:left w:w="150" w:type="dxa"/>
              <w:right w:w="150" w:type="dxa"/>
            </w:tcMar>
            <w:vAlign w:val="center"/>
          </w:tcPr>
          <w:p>
            <w:pPr>
              <w:keepNext w:val="0"/>
              <w:keepLines w:val="0"/>
              <w:widowControl/>
              <w:suppressLineNumbers w:val="0"/>
              <w:spacing w:before="0" w:beforeAutospacing="0" w:after="0" w:afterAutospacing="0"/>
              <w:ind w:left="0" w:right="0"/>
              <w:jc w:val="left"/>
              <w:rPr>
                <w:color w:val="999999"/>
                <w:sz w:val="21"/>
                <w:szCs w:val="21"/>
              </w:rPr>
            </w:pPr>
            <w:r>
              <w:rPr>
                <w:rFonts w:ascii="宋体" w:hAnsi="宋体" w:eastAsia="宋体" w:cs="宋体"/>
                <w:color w:val="999999"/>
                <w:kern w:val="0"/>
                <w:sz w:val="21"/>
                <w:szCs w:val="21"/>
                <w:bdr w:val="none" w:color="auto" w:sz="0" w:space="0"/>
                <w:lang w:val="en-US" w:eastAsia="zh-CN" w:bidi="ar"/>
              </w:rPr>
              <w:t>来源 : 国家税务总局江西省税务局</w:t>
            </w:r>
          </w:p>
        </w:tc>
        <w:tc>
          <w:tcPr>
            <w:tcW w:w="1000" w:type="pct"/>
            <w:shd w:val="clear"/>
            <w:tcMar>
              <w:left w:w="150" w:type="dxa"/>
              <w:right w:w="150" w:type="dxa"/>
            </w:tcMar>
            <w:vAlign w:val="center"/>
          </w:tcPr>
          <w:p>
            <w:pPr>
              <w:keepNext w:val="0"/>
              <w:keepLines w:val="0"/>
              <w:widowControl/>
              <w:suppressLineNumbers w:val="0"/>
              <w:spacing w:before="0" w:beforeAutospacing="0" w:after="0" w:afterAutospacing="0"/>
              <w:ind w:left="0" w:right="0"/>
              <w:jc w:val="left"/>
              <w:rPr>
                <w:color w:val="999999"/>
                <w:sz w:val="21"/>
                <w:szCs w:val="21"/>
              </w:rPr>
            </w:pPr>
            <w:r>
              <w:rPr>
                <w:rFonts w:ascii="宋体" w:hAnsi="宋体" w:eastAsia="宋体" w:cs="宋体"/>
                <w:color w:val="999999"/>
                <w:kern w:val="0"/>
                <w:sz w:val="21"/>
                <w:szCs w:val="21"/>
                <w:bdr w:val="none" w:color="auto" w:sz="0" w:space="0"/>
                <w:lang w:val="en-US" w:eastAsia="zh-CN" w:bidi="ar"/>
              </w:rPr>
              <w:t>字号 : [</w:t>
            </w:r>
            <w:r>
              <w:rPr>
                <w:rFonts w:ascii="宋体" w:hAnsi="宋体" w:eastAsia="宋体" w:cs="宋体"/>
                <w:color w:val="999999"/>
                <w:kern w:val="0"/>
                <w:sz w:val="21"/>
                <w:szCs w:val="21"/>
                <w:u w:val="none"/>
                <w:bdr w:val="none" w:color="auto" w:sz="0" w:space="0"/>
                <w:lang w:val="en-US" w:eastAsia="zh-CN" w:bidi="ar"/>
              </w:rPr>
              <w:fldChar w:fldCharType="begin"/>
            </w:r>
            <w:r>
              <w:rPr>
                <w:rFonts w:ascii="宋体" w:hAnsi="宋体" w:eastAsia="宋体" w:cs="宋体"/>
                <w:color w:val="999999"/>
                <w:kern w:val="0"/>
                <w:sz w:val="21"/>
                <w:szCs w:val="21"/>
                <w:u w:val="none"/>
                <w:bdr w:val="none" w:color="auto" w:sz="0" w:space="0"/>
                <w:lang w:val="en-US" w:eastAsia="zh-CN" w:bidi="ar"/>
              </w:rPr>
              <w:instrText xml:space="preserve"> HYPERLINK "javascript:void(0)" </w:instrText>
            </w:r>
            <w:r>
              <w:rPr>
                <w:rFonts w:ascii="宋体" w:hAnsi="宋体" w:eastAsia="宋体" w:cs="宋体"/>
                <w:color w:val="999999"/>
                <w:kern w:val="0"/>
                <w:sz w:val="21"/>
                <w:szCs w:val="21"/>
                <w:u w:val="none"/>
                <w:bdr w:val="none" w:color="auto" w:sz="0" w:space="0"/>
                <w:lang w:val="en-US" w:eastAsia="zh-CN" w:bidi="ar"/>
              </w:rPr>
              <w:fldChar w:fldCharType="separate"/>
            </w:r>
            <w:r>
              <w:rPr>
                <w:rStyle w:val="5"/>
                <w:rFonts w:ascii="宋体" w:hAnsi="宋体" w:eastAsia="宋体" w:cs="宋体"/>
                <w:color w:val="999999"/>
                <w:sz w:val="21"/>
                <w:szCs w:val="21"/>
                <w:u w:val="none"/>
                <w:bdr w:val="none" w:color="auto" w:sz="0" w:space="0"/>
              </w:rPr>
              <w:t> 大 </w:t>
            </w:r>
            <w:r>
              <w:rPr>
                <w:rFonts w:ascii="宋体" w:hAnsi="宋体" w:eastAsia="宋体" w:cs="宋体"/>
                <w:color w:val="999999"/>
                <w:kern w:val="0"/>
                <w:sz w:val="21"/>
                <w:szCs w:val="21"/>
                <w:u w:val="none"/>
                <w:bdr w:val="none" w:color="auto" w:sz="0" w:space="0"/>
                <w:lang w:val="en-US" w:eastAsia="zh-CN" w:bidi="ar"/>
              </w:rPr>
              <w:fldChar w:fldCharType="end"/>
            </w:r>
            <w:r>
              <w:rPr>
                <w:rFonts w:ascii="宋体" w:hAnsi="宋体" w:eastAsia="宋体" w:cs="宋体"/>
                <w:color w:val="999999"/>
                <w:kern w:val="0"/>
                <w:sz w:val="21"/>
                <w:szCs w:val="21"/>
                <w:bdr w:val="none" w:color="auto" w:sz="0" w:space="0"/>
                <w:lang w:val="en-US" w:eastAsia="zh-CN" w:bidi="ar"/>
              </w:rPr>
              <w:t>] [</w:t>
            </w:r>
            <w:r>
              <w:rPr>
                <w:rFonts w:ascii="宋体" w:hAnsi="宋体" w:eastAsia="宋体" w:cs="宋体"/>
                <w:color w:val="999999"/>
                <w:kern w:val="0"/>
                <w:sz w:val="21"/>
                <w:szCs w:val="21"/>
                <w:u w:val="none"/>
                <w:bdr w:val="none" w:color="auto" w:sz="0" w:space="0"/>
                <w:lang w:val="en-US" w:eastAsia="zh-CN" w:bidi="ar"/>
              </w:rPr>
              <w:fldChar w:fldCharType="begin"/>
            </w:r>
            <w:r>
              <w:rPr>
                <w:rFonts w:ascii="宋体" w:hAnsi="宋体" w:eastAsia="宋体" w:cs="宋体"/>
                <w:color w:val="999999"/>
                <w:kern w:val="0"/>
                <w:sz w:val="21"/>
                <w:szCs w:val="21"/>
                <w:u w:val="none"/>
                <w:bdr w:val="none" w:color="auto" w:sz="0" w:space="0"/>
                <w:lang w:val="en-US" w:eastAsia="zh-CN" w:bidi="ar"/>
              </w:rPr>
              <w:instrText xml:space="preserve"> HYPERLINK "javascript:void(0)" </w:instrText>
            </w:r>
            <w:r>
              <w:rPr>
                <w:rFonts w:ascii="宋体" w:hAnsi="宋体" w:eastAsia="宋体" w:cs="宋体"/>
                <w:color w:val="999999"/>
                <w:kern w:val="0"/>
                <w:sz w:val="21"/>
                <w:szCs w:val="21"/>
                <w:u w:val="none"/>
                <w:bdr w:val="none" w:color="auto" w:sz="0" w:space="0"/>
                <w:lang w:val="en-US" w:eastAsia="zh-CN" w:bidi="ar"/>
              </w:rPr>
              <w:fldChar w:fldCharType="separate"/>
            </w:r>
            <w:r>
              <w:rPr>
                <w:rStyle w:val="5"/>
                <w:rFonts w:ascii="宋体" w:hAnsi="宋体" w:eastAsia="宋体" w:cs="宋体"/>
                <w:color w:val="999999"/>
                <w:sz w:val="21"/>
                <w:szCs w:val="21"/>
                <w:u w:val="none"/>
                <w:bdr w:val="none" w:color="auto" w:sz="0" w:space="0"/>
              </w:rPr>
              <w:t> 中 </w:t>
            </w:r>
            <w:r>
              <w:rPr>
                <w:rFonts w:ascii="宋体" w:hAnsi="宋体" w:eastAsia="宋体" w:cs="宋体"/>
                <w:color w:val="999999"/>
                <w:kern w:val="0"/>
                <w:sz w:val="21"/>
                <w:szCs w:val="21"/>
                <w:u w:val="none"/>
                <w:bdr w:val="none" w:color="auto" w:sz="0" w:space="0"/>
                <w:lang w:val="en-US" w:eastAsia="zh-CN" w:bidi="ar"/>
              </w:rPr>
              <w:fldChar w:fldCharType="end"/>
            </w:r>
            <w:r>
              <w:rPr>
                <w:rFonts w:ascii="宋体" w:hAnsi="宋体" w:eastAsia="宋体" w:cs="宋体"/>
                <w:color w:val="999999"/>
                <w:kern w:val="0"/>
                <w:sz w:val="21"/>
                <w:szCs w:val="21"/>
                <w:bdr w:val="none" w:color="auto" w:sz="0" w:space="0"/>
                <w:lang w:val="en-US" w:eastAsia="zh-CN" w:bidi="ar"/>
              </w:rPr>
              <w:t>] [</w:t>
            </w:r>
            <w:r>
              <w:rPr>
                <w:rFonts w:ascii="宋体" w:hAnsi="宋体" w:eastAsia="宋体" w:cs="宋体"/>
                <w:color w:val="999999"/>
                <w:kern w:val="0"/>
                <w:sz w:val="21"/>
                <w:szCs w:val="21"/>
                <w:u w:val="none"/>
                <w:bdr w:val="none" w:color="auto" w:sz="0" w:space="0"/>
                <w:lang w:val="en-US" w:eastAsia="zh-CN" w:bidi="ar"/>
              </w:rPr>
              <w:fldChar w:fldCharType="begin"/>
            </w:r>
            <w:r>
              <w:rPr>
                <w:rFonts w:ascii="宋体" w:hAnsi="宋体" w:eastAsia="宋体" w:cs="宋体"/>
                <w:color w:val="999999"/>
                <w:kern w:val="0"/>
                <w:sz w:val="21"/>
                <w:szCs w:val="21"/>
                <w:u w:val="none"/>
                <w:bdr w:val="none" w:color="auto" w:sz="0" w:space="0"/>
                <w:lang w:val="en-US" w:eastAsia="zh-CN" w:bidi="ar"/>
              </w:rPr>
              <w:instrText xml:space="preserve"> HYPERLINK "javascript:void(0)" </w:instrText>
            </w:r>
            <w:r>
              <w:rPr>
                <w:rFonts w:ascii="宋体" w:hAnsi="宋体" w:eastAsia="宋体" w:cs="宋体"/>
                <w:color w:val="999999"/>
                <w:kern w:val="0"/>
                <w:sz w:val="21"/>
                <w:szCs w:val="21"/>
                <w:u w:val="none"/>
                <w:bdr w:val="none" w:color="auto" w:sz="0" w:space="0"/>
                <w:lang w:val="en-US" w:eastAsia="zh-CN" w:bidi="ar"/>
              </w:rPr>
              <w:fldChar w:fldCharType="separate"/>
            </w:r>
            <w:r>
              <w:rPr>
                <w:rStyle w:val="5"/>
                <w:rFonts w:ascii="宋体" w:hAnsi="宋体" w:eastAsia="宋体" w:cs="宋体"/>
                <w:color w:val="999999"/>
                <w:sz w:val="21"/>
                <w:szCs w:val="21"/>
                <w:u w:val="none"/>
                <w:bdr w:val="none" w:color="auto" w:sz="0" w:space="0"/>
              </w:rPr>
              <w:t> 小 </w:t>
            </w:r>
            <w:r>
              <w:rPr>
                <w:rFonts w:ascii="宋体" w:hAnsi="宋体" w:eastAsia="宋体" w:cs="宋体"/>
                <w:color w:val="999999"/>
                <w:kern w:val="0"/>
                <w:sz w:val="21"/>
                <w:szCs w:val="21"/>
                <w:u w:val="none"/>
                <w:bdr w:val="none" w:color="auto" w:sz="0" w:space="0"/>
                <w:lang w:val="en-US" w:eastAsia="zh-CN" w:bidi="ar"/>
              </w:rPr>
              <w:fldChar w:fldCharType="end"/>
            </w:r>
            <w:r>
              <w:rPr>
                <w:rFonts w:ascii="宋体" w:hAnsi="宋体" w:eastAsia="宋体" w:cs="宋体"/>
                <w:color w:val="999999"/>
                <w:kern w:val="0"/>
                <w:sz w:val="21"/>
                <w:szCs w:val="21"/>
                <w:bdr w:val="none" w:color="auto" w:sz="0" w:space="0"/>
                <w:lang w:val="en-US" w:eastAsia="zh-CN" w:bidi="ar"/>
              </w:rPr>
              <w:t>]</w:t>
            </w:r>
          </w:p>
        </w:tc>
        <w:tc>
          <w:tcPr>
            <w:tcW w:w="400" w:type="pct"/>
            <w:shd w:val="clear"/>
            <w:tcMar>
              <w:left w:w="150" w:type="dxa"/>
              <w:right w:w="150" w:type="dxa"/>
            </w:tcMar>
            <w:vAlign w:val="center"/>
          </w:tcPr>
          <w:p>
            <w:pPr>
              <w:keepNext w:val="0"/>
              <w:keepLines w:val="0"/>
              <w:widowControl/>
              <w:suppressLineNumbers w:val="0"/>
              <w:spacing w:before="0" w:beforeAutospacing="0" w:after="0" w:afterAutospacing="0"/>
              <w:ind w:left="0" w:right="0"/>
              <w:jc w:val="left"/>
              <w:rPr>
                <w:color w:val="999999"/>
                <w:sz w:val="21"/>
                <w:szCs w:val="21"/>
              </w:rPr>
            </w:pPr>
            <w:r>
              <w:rPr>
                <w:rFonts w:ascii="宋体" w:hAnsi="宋体" w:eastAsia="宋体" w:cs="宋体"/>
                <w:color w:val="999999"/>
                <w:kern w:val="0"/>
                <w:sz w:val="21"/>
                <w:szCs w:val="21"/>
                <w:u w:val="none"/>
                <w:bdr w:val="none" w:color="auto" w:sz="0" w:space="0"/>
                <w:lang w:val="en-US" w:eastAsia="zh-CN" w:bidi="ar"/>
              </w:rPr>
              <w:fldChar w:fldCharType="begin"/>
            </w:r>
            <w:r>
              <w:rPr>
                <w:rFonts w:ascii="宋体" w:hAnsi="宋体" w:eastAsia="宋体" w:cs="宋体"/>
                <w:color w:val="999999"/>
                <w:kern w:val="0"/>
                <w:sz w:val="21"/>
                <w:szCs w:val="21"/>
                <w:u w:val="none"/>
                <w:bdr w:val="none" w:color="auto" w:sz="0" w:space="0"/>
                <w:lang w:val="en-US" w:eastAsia="zh-CN" w:bidi="ar"/>
              </w:rPr>
              <w:instrText xml:space="preserve"> HYPERLINK "javascript:window.print()" </w:instrText>
            </w:r>
            <w:r>
              <w:rPr>
                <w:rFonts w:ascii="宋体" w:hAnsi="宋体" w:eastAsia="宋体" w:cs="宋体"/>
                <w:color w:val="999999"/>
                <w:kern w:val="0"/>
                <w:sz w:val="21"/>
                <w:szCs w:val="21"/>
                <w:u w:val="none"/>
                <w:bdr w:val="none" w:color="auto" w:sz="0" w:space="0"/>
                <w:lang w:val="en-US" w:eastAsia="zh-CN" w:bidi="ar"/>
              </w:rPr>
              <w:fldChar w:fldCharType="separate"/>
            </w:r>
            <w:r>
              <w:rPr>
                <w:rStyle w:val="5"/>
                <w:rFonts w:ascii="宋体" w:hAnsi="宋体" w:eastAsia="宋体" w:cs="宋体"/>
                <w:color w:val="999999"/>
                <w:sz w:val="21"/>
                <w:szCs w:val="21"/>
                <w:u w:val="none"/>
                <w:bdr w:val="none" w:color="auto" w:sz="0" w:space="0"/>
              </w:rPr>
              <w:t>打印本页</w:t>
            </w:r>
            <w:r>
              <w:rPr>
                <w:rFonts w:ascii="宋体" w:hAnsi="宋体" w:eastAsia="宋体" w:cs="宋体"/>
                <w:color w:val="999999"/>
                <w:kern w:val="0"/>
                <w:sz w:val="21"/>
                <w:szCs w:val="21"/>
                <w:u w:val="none"/>
                <w:bdr w:val="none" w:color="auto" w:sz="0" w:space="0"/>
                <w:lang w:val="en-US" w:eastAsia="zh-CN" w:bidi="ar"/>
              </w:rPr>
              <w:fldChar w:fldCharType="end"/>
            </w:r>
            <w:r>
              <w:rPr>
                <w:rFonts w:ascii="宋体" w:hAnsi="宋体" w:eastAsia="宋体" w:cs="宋体"/>
                <w:color w:val="999999"/>
                <w:kern w:val="0"/>
                <w:sz w:val="21"/>
                <w:szCs w:val="21"/>
                <w:bdr w:val="none" w:color="auto" w:sz="0" w:space="0"/>
                <w:lang w:val="en-US" w:eastAsia="zh-CN" w:bidi="ar"/>
              </w:rPr>
              <w:t> </w:t>
            </w:r>
            <w:r>
              <w:rPr>
                <w:rFonts w:ascii="宋体" w:hAnsi="宋体" w:eastAsia="宋体" w:cs="宋体"/>
                <w:color w:val="999999"/>
                <w:kern w:val="0"/>
                <w:sz w:val="21"/>
                <w:szCs w:val="21"/>
                <w:u w:val="none"/>
                <w:bdr w:val="none" w:color="auto" w:sz="0" w:space="0"/>
                <w:lang w:val="en-US" w:eastAsia="zh-CN" w:bidi="ar"/>
              </w:rPr>
              <w:t>正文下载</w:t>
            </w:r>
          </w:p>
        </w:tc>
        <w:tc>
          <w:tcPr>
            <w:tcW w:w="1000" w:type="pct"/>
            <w:shd w:val="clear"/>
            <w:tcMar>
              <w:left w:w="15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999999"/>
                <w:sz w:val="21"/>
                <w:szCs w:val="21"/>
              </w:rPr>
            </w:pPr>
            <w:r>
              <w:rPr>
                <w:rFonts w:ascii="宋体" w:hAnsi="宋体" w:eastAsia="宋体" w:cs="宋体"/>
                <w:color w:val="999999"/>
                <w:kern w:val="0"/>
                <w:sz w:val="21"/>
                <w:szCs w:val="21"/>
                <w:u w:val="none"/>
                <w:bdr w:val="none" w:color="auto" w:sz="0" w:space="0"/>
                <w:lang w:val="en-US" w:eastAsia="zh-CN" w:bidi="ar"/>
              </w:rPr>
              <w:fldChar w:fldCharType="begin"/>
            </w:r>
            <w:r>
              <w:rPr>
                <w:rFonts w:ascii="宋体" w:hAnsi="宋体" w:eastAsia="宋体" w:cs="宋体"/>
                <w:color w:val="999999"/>
                <w:kern w:val="0"/>
                <w:sz w:val="21"/>
                <w:szCs w:val="21"/>
                <w:u w:val="none"/>
                <w:bdr w:val="none" w:color="auto" w:sz="0" w:space="0"/>
                <w:lang w:val="en-US" w:eastAsia="zh-CN" w:bidi="ar"/>
              </w:rPr>
              <w:instrText xml:space="preserve"> HYPERLINK "https://jiangxi.chinatax.gov.cn/art/2022/7/26/art_31884_20948.html" \o "分享到新浪微博" </w:instrText>
            </w:r>
            <w:r>
              <w:rPr>
                <w:rFonts w:ascii="宋体" w:hAnsi="宋体" w:eastAsia="宋体" w:cs="宋体"/>
                <w:color w:val="999999"/>
                <w:kern w:val="0"/>
                <w:sz w:val="21"/>
                <w:szCs w:val="21"/>
                <w:u w:val="none"/>
                <w:bdr w:val="none" w:color="auto" w:sz="0" w:space="0"/>
                <w:lang w:val="en-US" w:eastAsia="zh-CN" w:bidi="ar"/>
              </w:rPr>
              <w:fldChar w:fldCharType="separate"/>
            </w:r>
            <w:r>
              <w:rPr>
                <w:rFonts w:ascii="宋体" w:hAnsi="宋体" w:eastAsia="宋体" w:cs="宋体"/>
                <w:color w:val="999999"/>
                <w:kern w:val="0"/>
                <w:sz w:val="21"/>
                <w:szCs w:val="21"/>
                <w:u w:val="none"/>
                <w:bdr w:val="none" w:color="auto" w:sz="0" w:space="0"/>
                <w:lang w:val="en-US" w:eastAsia="zh-CN" w:bidi="ar"/>
              </w:rPr>
              <w:fldChar w:fldCharType="end"/>
            </w:r>
            <w:r>
              <w:rPr>
                <w:rFonts w:ascii="宋体" w:hAnsi="宋体" w:eastAsia="宋体" w:cs="宋体"/>
                <w:color w:val="999999"/>
                <w:kern w:val="0"/>
                <w:sz w:val="21"/>
                <w:szCs w:val="21"/>
                <w:u w:val="none"/>
                <w:bdr w:val="none" w:color="auto" w:sz="0" w:space="0"/>
                <w:lang w:val="en-US" w:eastAsia="zh-CN" w:bidi="ar"/>
              </w:rPr>
              <w:fldChar w:fldCharType="begin"/>
            </w:r>
            <w:r>
              <w:rPr>
                <w:rFonts w:ascii="宋体" w:hAnsi="宋体" w:eastAsia="宋体" w:cs="宋体"/>
                <w:color w:val="999999"/>
                <w:kern w:val="0"/>
                <w:sz w:val="21"/>
                <w:szCs w:val="21"/>
                <w:u w:val="none"/>
                <w:bdr w:val="none" w:color="auto" w:sz="0" w:space="0"/>
                <w:lang w:val="en-US" w:eastAsia="zh-CN" w:bidi="ar"/>
              </w:rPr>
              <w:instrText xml:space="preserve"> HYPERLINK "https://jiangxi.chinatax.gov.cn/art/2022/7/26/art_31884_20948.html" \o "分享到微信" </w:instrText>
            </w:r>
            <w:r>
              <w:rPr>
                <w:rFonts w:ascii="宋体" w:hAnsi="宋体" w:eastAsia="宋体" w:cs="宋体"/>
                <w:color w:val="999999"/>
                <w:kern w:val="0"/>
                <w:sz w:val="21"/>
                <w:szCs w:val="21"/>
                <w:u w:val="none"/>
                <w:bdr w:val="none" w:color="auto" w:sz="0" w:space="0"/>
                <w:lang w:val="en-US" w:eastAsia="zh-CN" w:bidi="ar"/>
              </w:rPr>
              <w:fldChar w:fldCharType="separate"/>
            </w:r>
            <w:r>
              <w:rPr>
                <w:rFonts w:ascii="宋体" w:hAnsi="宋体" w:eastAsia="宋体" w:cs="宋体"/>
                <w:color w:val="999999"/>
                <w:kern w:val="0"/>
                <w:sz w:val="21"/>
                <w:szCs w:val="21"/>
                <w:u w:val="none"/>
                <w:bdr w:val="none" w:color="auto" w:sz="0" w:space="0"/>
                <w:lang w:val="en-US" w:eastAsia="zh-CN" w:bidi="ar"/>
              </w:rPr>
              <w:fldChar w:fldCharType="end"/>
            </w:r>
            <w:r>
              <w:rPr>
                <w:rFonts w:ascii="宋体" w:hAnsi="宋体" w:eastAsia="宋体" w:cs="宋体"/>
                <w:color w:val="999999"/>
                <w:kern w:val="0"/>
                <w:sz w:val="21"/>
                <w:szCs w:val="21"/>
                <w:u w:val="none"/>
                <w:bdr w:val="none" w:color="auto" w:sz="0" w:space="0"/>
                <w:lang w:val="en-US" w:eastAsia="zh-CN" w:bidi="ar"/>
              </w:rPr>
              <w:fldChar w:fldCharType="begin"/>
            </w:r>
            <w:r>
              <w:rPr>
                <w:rFonts w:ascii="宋体" w:hAnsi="宋体" w:eastAsia="宋体" w:cs="宋体"/>
                <w:color w:val="999999"/>
                <w:kern w:val="0"/>
                <w:sz w:val="21"/>
                <w:szCs w:val="21"/>
                <w:u w:val="none"/>
                <w:bdr w:val="none" w:color="auto" w:sz="0" w:space="0"/>
                <w:lang w:val="en-US" w:eastAsia="zh-CN" w:bidi="ar"/>
              </w:rPr>
              <w:instrText xml:space="preserve"> HYPERLINK "https://jiangxi.chinatax.gov.cn/art/2022/7/26/art_31884_20948.html" \o "分享到QQ空间" </w:instrText>
            </w:r>
            <w:r>
              <w:rPr>
                <w:rFonts w:ascii="宋体" w:hAnsi="宋体" w:eastAsia="宋体" w:cs="宋体"/>
                <w:color w:val="999999"/>
                <w:kern w:val="0"/>
                <w:sz w:val="21"/>
                <w:szCs w:val="21"/>
                <w:u w:val="none"/>
                <w:bdr w:val="none" w:color="auto" w:sz="0" w:space="0"/>
                <w:lang w:val="en-US" w:eastAsia="zh-CN" w:bidi="ar"/>
              </w:rPr>
              <w:fldChar w:fldCharType="separate"/>
            </w:r>
            <w:r>
              <w:rPr>
                <w:rFonts w:ascii="宋体" w:hAnsi="宋体" w:eastAsia="宋体" w:cs="宋体"/>
                <w:color w:val="999999"/>
                <w:kern w:val="0"/>
                <w:sz w:val="21"/>
                <w:szCs w:val="21"/>
                <w:u w:val="none"/>
                <w:bdr w:val="none" w:color="auto" w:sz="0" w:space="0"/>
                <w:lang w:val="en-US" w:eastAsia="zh-CN" w:bidi="ar"/>
              </w:rPr>
              <w:fldChar w:fldCharType="end"/>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eastAsia" w:ascii="微软雅黑" w:hAnsi="微软雅黑" w:eastAsia="微软雅黑" w:cs="微软雅黑"/>
          <w:i w:val="0"/>
          <w:iCs w:val="0"/>
          <w:caps w:val="0"/>
          <w:color w:val="910A08"/>
          <w:spacing w:val="0"/>
          <w:sz w:val="28"/>
          <w:szCs w:val="28"/>
        </w:rPr>
      </w:pPr>
      <w:r>
        <w:rPr>
          <w:rFonts w:hint="eastAsia" w:ascii="微软雅黑" w:hAnsi="微软雅黑" w:eastAsia="微软雅黑" w:cs="微软雅黑"/>
          <w:i w:val="0"/>
          <w:iCs w:val="0"/>
          <w:caps w:val="0"/>
          <w:color w:val="910A08"/>
          <w:spacing w:val="0"/>
          <w:kern w:val="0"/>
          <w:sz w:val="28"/>
          <w:szCs w:val="28"/>
          <w:bdr w:val="none" w:color="auto" w:sz="0" w:space="0"/>
          <w:lang w:val="en-US" w:eastAsia="zh-CN" w:bidi="ar"/>
        </w:rPr>
        <w:t>【发文字号】2022年第5号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eastAsia" w:ascii="微软雅黑" w:hAnsi="微软雅黑" w:eastAsia="微软雅黑" w:cs="微软雅黑"/>
          <w:i w:val="0"/>
          <w:iCs w:val="0"/>
          <w:caps w:val="0"/>
          <w:color w:val="910A08"/>
          <w:spacing w:val="0"/>
          <w:sz w:val="28"/>
          <w:szCs w:val="28"/>
        </w:rPr>
      </w:pPr>
      <w:r>
        <w:rPr>
          <w:rFonts w:hint="eastAsia" w:ascii="微软雅黑" w:hAnsi="微软雅黑" w:eastAsia="微软雅黑" w:cs="微软雅黑"/>
          <w:i w:val="0"/>
          <w:iCs w:val="0"/>
          <w:caps w:val="0"/>
          <w:color w:val="910A08"/>
          <w:spacing w:val="0"/>
          <w:kern w:val="0"/>
          <w:sz w:val="28"/>
          <w:szCs w:val="28"/>
          <w:bdr w:val="none" w:color="auto" w:sz="0" w:space="0"/>
          <w:lang w:val="en-US" w:eastAsia="zh-CN" w:bidi="ar"/>
        </w:rPr>
        <w:t>【是否有效】全文有效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中华人民共和国企业所得税法》及其实施条例、《国家税务总局关于印发&lt;房地产开发经营业务企业所得税处理办法&gt;的通知》（国税发〔2009〕31号，国家税务总局公告2018年第31号修改）等有关规定，结合我省实际，现就调整全省房地产开发经营企业销售未完工开发产品的计税毛利率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一、江西省房地产开发经营企业销售未完工开发产品的计税毛利率调整为：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（一）开发项目位于南昌市城区和郊区的，计税毛利率为15%；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（二）开发项目位于南昌市以外其他设区市城区及郊区的，计税毛利率为10%；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（三）开发项目位于其他地区的，计税毛利率为5%；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（四）开发项目属于经济适用房、限价房和危改房的，计税毛利率为3%。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二、本公告自2022年1月1日起施行。《国家税务总局江西省税务局关于进一步推动房地产及建筑业平稳健康发展有关事项的公告》（2020年第2号）第一条同时废止。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420"/>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rPr>
          <w:rFonts w:hint="eastAsia" w:ascii="微软雅黑" w:hAnsi="微软雅黑" w:eastAsia="微软雅黑" w:cs="微软雅黑"/>
          <w:color w:val="333333"/>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国家税务总局江西省税务局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jc w:val="center"/>
        <w:rPr>
          <w:rFonts w:hint="eastAsia" w:ascii="微软雅黑" w:hAnsi="微软雅黑" w:eastAsia="微软雅黑" w:cs="微软雅黑"/>
          <w:color w:val="333333"/>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2022年7月26日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22678"/>
    <w:rsid w:val="2F322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2022-07-28T07:35:00Z</dcterms:created>
  <dc:creator>Administrator</dc:creator>
  <cp:lastModifiedBy>Administrator</cp:lastModifiedBy>
  <dcterms:modified xsi:type="dcterms:W3CDTF">2022-07-28T07:35:54Z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AB6B18EF9B05471FB35FEF7BDA009F24</vt:lpwstr>
  </property>
</Properties>
</file>