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975" w:lineRule="atLeast"/>
        <w:ind w:left="0" w:right="0" w:firstLine="0"/>
        <w:jc w:val="center"/>
        <w:rPr>
          <w:rFonts w:hint="eastAsia" w:ascii="微软雅黑" w:hAnsi="微软雅黑" w:eastAsia="微软雅黑" w:cs="微软雅黑"/>
          <w:b/>
          <w:bCs/>
          <w:i w:val="0"/>
          <w:iCs w:val="0"/>
          <w:caps w:val="0"/>
          <w:color w:val="BD1A2D"/>
          <w:spacing w:val="0"/>
          <w:kern w:val="0"/>
          <w:sz w:val="44"/>
          <w:szCs w:val="44"/>
          <w:lang w:val="en-US" w:eastAsia="zh-CN" w:bidi="ar"/>
        </w:rPr>
      </w:pPr>
      <w:r>
        <w:rPr>
          <w:rFonts w:hint="eastAsia" w:ascii="微软雅黑" w:hAnsi="微软雅黑" w:eastAsia="微软雅黑" w:cs="微软雅黑"/>
          <w:b/>
          <w:bCs/>
          <w:i w:val="0"/>
          <w:iCs w:val="0"/>
          <w:caps w:val="0"/>
          <w:color w:val="BD1A2D"/>
          <w:spacing w:val="0"/>
          <w:kern w:val="0"/>
          <w:sz w:val="44"/>
          <w:szCs w:val="44"/>
          <w:lang w:val="en-US" w:eastAsia="zh-CN" w:bidi="ar"/>
        </w:rPr>
        <w:t>铅山县文广新旅局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975" w:lineRule="atLeast"/>
        <w:ind w:left="0" w:right="0" w:firstLine="0"/>
        <w:jc w:val="center"/>
        <w:rPr>
          <w:rFonts w:hint="eastAsia" w:ascii="微软雅黑" w:hAnsi="微软雅黑" w:eastAsia="微软雅黑" w:cs="微软雅黑"/>
          <w:b/>
          <w:bCs/>
          <w:i w:val="0"/>
          <w:iCs w:val="0"/>
          <w:caps w:val="0"/>
          <w:color w:val="BD1A2D"/>
          <w:spacing w:val="0"/>
          <w:sz w:val="44"/>
          <w:szCs w:val="44"/>
        </w:rPr>
      </w:pPr>
      <w:r>
        <w:rPr>
          <w:rFonts w:hint="eastAsia" w:ascii="微软雅黑" w:hAnsi="微软雅黑" w:eastAsia="微软雅黑" w:cs="微软雅黑"/>
          <w:b/>
          <w:bCs/>
          <w:i w:val="0"/>
          <w:iCs w:val="0"/>
          <w:caps w:val="0"/>
          <w:color w:val="BD1A2D"/>
          <w:spacing w:val="0"/>
          <w:kern w:val="0"/>
          <w:sz w:val="44"/>
          <w:szCs w:val="44"/>
          <w:lang w:val="en-US" w:eastAsia="zh-CN" w:bidi="ar"/>
        </w:rPr>
        <w:t>2021年政府信息公开工作年度报告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本报告依据《中华人民共和国政府信息公开条例》要求，由铅山县文广新旅局结合有关统计数据编制。本年度报告中所列数据的统计期限自202</w:t>
      </w:r>
      <w:r>
        <w:rPr>
          <w:rFonts w:hint="eastAsia" w:ascii="宋体" w:hAnsi="宋体" w:eastAsia="宋体" w:cs="宋体"/>
          <w:i w:val="0"/>
          <w:iCs w:val="0"/>
          <w:caps w:val="0"/>
          <w:color w:val="333333"/>
          <w:spacing w:val="0"/>
          <w:sz w:val="32"/>
          <w:szCs w:val="32"/>
          <w:shd w:val="clear" w:fill="FFFFFF"/>
          <w:lang w:val="en-US" w:eastAsia="zh-CN"/>
        </w:rPr>
        <w:t>1</w:t>
      </w:r>
      <w:r>
        <w:rPr>
          <w:rFonts w:hint="eastAsia" w:ascii="宋体" w:hAnsi="宋体" w:eastAsia="宋体" w:cs="宋体"/>
          <w:i w:val="0"/>
          <w:iCs w:val="0"/>
          <w:caps w:val="0"/>
          <w:color w:val="333333"/>
          <w:spacing w:val="0"/>
          <w:sz w:val="32"/>
          <w:szCs w:val="32"/>
          <w:shd w:val="clear" w:fill="FFFFFF"/>
        </w:rPr>
        <w:t>年1月1日起至202</w:t>
      </w:r>
      <w:r>
        <w:rPr>
          <w:rFonts w:hint="eastAsia" w:ascii="宋体" w:hAnsi="宋体" w:eastAsia="宋体" w:cs="宋体"/>
          <w:i w:val="0"/>
          <w:iCs w:val="0"/>
          <w:caps w:val="0"/>
          <w:color w:val="333333"/>
          <w:spacing w:val="0"/>
          <w:sz w:val="32"/>
          <w:szCs w:val="32"/>
          <w:shd w:val="clear" w:fill="FFFFFF"/>
          <w:lang w:val="en-US" w:eastAsia="zh-CN"/>
        </w:rPr>
        <w:t>1</w:t>
      </w:r>
      <w:r>
        <w:rPr>
          <w:rFonts w:hint="eastAsia" w:ascii="宋体" w:hAnsi="宋体" w:eastAsia="宋体" w:cs="宋体"/>
          <w:i w:val="0"/>
          <w:iCs w:val="0"/>
          <w:caps w:val="0"/>
          <w:color w:val="333333"/>
          <w:spacing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铅山县人民政府网站（铅山县文广新旅局）下载。如对本报告有任何疑问，请与铅山县文广新旅局联系（地址：铅山县河口镇狮江大道45号二楼铅山县文广新旅局机关办公室，电话：</w:t>
      </w:r>
      <w:r>
        <w:rPr>
          <w:rFonts w:hint="eastAsia" w:ascii="宋体" w:hAnsi="宋体" w:eastAsia="宋体" w:cs="宋体"/>
          <w:i w:val="0"/>
          <w:iCs w:val="0"/>
          <w:caps w:val="0"/>
          <w:color w:val="333333"/>
          <w:spacing w:val="0"/>
          <w:sz w:val="32"/>
          <w:szCs w:val="32"/>
          <w:shd w:val="clear" w:fill="FFFFFF"/>
          <w:lang w:val="en-US" w:eastAsia="zh-CN"/>
        </w:rPr>
        <w:t>0793-</w:t>
      </w:r>
      <w:r>
        <w:rPr>
          <w:rFonts w:hint="eastAsia" w:ascii="宋体" w:hAnsi="宋体" w:eastAsia="宋体" w:cs="宋体"/>
          <w:i w:val="0"/>
          <w:iCs w:val="0"/>
          <w:caps w:val="0"/>
          <w:color w:val="333333"/>
          <w:spacing w:val="0"/>
          <w:sz w:val="32"/>
          <w:szCs w:val="32"/>
          <w:shd w:val="clear" w:fill="FFFFFF"/>
        </w:rPr>
        <w:t>5130189，邮编：334500）。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202</w:t>
      </w:r>
      <w:r>
        <w:rPr>
          <w:rFonts w:hint="eastAsia" w:ascii="宋体" w:hAnsi="宋体" w:eastAsia="宋体" w:cs="宋体"/>
          <w:i w:val="0"/>
          <w:iCs w:val="0"/>
          <w:caps w:val="0"/>
          <w:color w:val="333333"/>
          <w:spacing w:val="0"/>
          <w:sz w:val="32"/>
          <w:szCs w:val="32"/>
          <w:shd w:val="clear" w:fill="FFFFFF"/>
          <w:lang w:val="en-US" w:eastAsia="zh-CN"/>
        </w:rPr>
        <w:t>1</w:t>
      </w:r>
      <w:r>
        <w:rPr>
          <w:rFonts w:hint="eastAsia" w:ascii="宋体" w:hAnsi="宋体" w:eastAsia="宋体" w:cs="宋体"/>
          <w:i w:val="0"/>
          <w:iCs w:val="0"/>
          <w:caps w:val="0"/>
          <w:color w:val="333333"/>
          <w:spacing w:val="0"/>
          <w:sz w:val="32"/>
          <w:szCs w:val="32"/>
          <w:shd w:val="clear" w:fill="FFFFFF"/>
        </w:rPr>
        <w:t>年我局坚持以习近平新时代中国特色社会主义思想为指导，深入贯彻党的十九大和十九届二中、三中、四中、五中</w:t>
      </w:r>
      <w:r>
        <w:rPr>
          <w:rFonts w:hint="eastAsia" w:ascii="宋体" w:hAnsi="宋体" w:eastAsia="宋体" w:cs="宋体"/>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32"/>
          <w:szCs w:val="32"/>
          <w:shd w:val="clear" w:fill="FFFFFF"/>
          <w:lang w:val="en-US" w:eastAsia="zh-CN"/>
        </w:rPr>
        <w:t>六中</w:t>
      </w:r>
      <w:r>
        <w:rPr>
          <w:rFonts w:hint="eastAsia" w:ascii="宋体" w:hAnsi="宋体" w:eastAsia="宋体" w:cs="宋体"/>
          <w:i w:val="0"/>
          <w:iCs w:val="0"/>
          <w:caps w:val="0"/>
          <w:color w:val="333333"/>
          <w:spacing w:val="0"/>
          <w:sz w:val="32"/>
          <w:szCs w:val="32"/>
          <w:shd w:val="clear" w:fill="FFFFFF"/>
        </w:rPr>
        <w:t>全会精神，严格落</w:t>
      </w:r>
      <w:r>
        <w:rPr>
          <w:rFonts w:hint="eastAsia" w:ascii="宋体" w:hAnsi="宋体" w:eastAsia="宋体" w:cs="宋体"/>
          <w:i w:val="0"/>
          <w:iCs w:val="0"/>
          <w:caps w:val="0"/>
          <w:color w:val="333333"/>
          <w:spacing w:val="0"/>
          <w:sz w:val="32"/>
          <w:szCs w:val="32"/>
          <w:shd w:val="clear" w:fill="FFFFFF"/>
        </w:rPr>
        <w:t>实政府信息公开工作要求，紧紧围绕省委、省政府中心工作及社</w:t>
      </w:r>
      <w:r>
        <w:rPr>
          <w:rFonts w:hint="eastAsia" w:ascii="宋体" w:hAnsi="宋体" w:eastAsia="宋体" w:cs="宋体"/>
          <w:i w:val="0"/>
          <w:iCs w:val="0"/>
          <w:caps w:val="0"/>
          <w:color w:val="333333"/>
          <w:spacing w:val="0"/>
          <w:sz w:val="32"/>
          <w:szCs w:val="32"/>
          <w:shd w:val="clear" w:fill="FFFFFF"/>
        </w:rPr>
        <w:t>会群众关注关切，着力提升政府信息公开质量，推进拓宽政府信息公开渠道，不断增强政府信息公开实效。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1.决策公开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国家法律法规</w:t>
      </w:r>
      <w:r>
        <w:rPr>
          <w:rFonts w:hint="eastAsia" w:ascii="宋体" w:hAnsi="宋体" w:eastAsia="宋体" w:cs="宋体"/>
          <w:i w:val="0"/>
          <w:iCs w:val="0"/>
          <w:caps w:val="0"/>
          <w:color w:val="333333"/>
          <w:spacing w:val="0"/>
          <w:sz w:val="32"/>
          <w:szCs w:val="32"/>
          <w:shd w:val="clear" w:fill="FFFFFF"/>
          <w:lang w:val="en-US" w:eastAsia="zh-CN"/>
        </w:rPr>
        <w:t>6</w:t>
      </w:r>
      <w:r>
        <w:rPr>
          <w:rFonts w:hint="eastAsia" w:ascii="宋体" w:hAnsi="宋体" w:eastAsia="宋体" w:cs="宋体"/>
          <w:i w:val="0"/>
          <w:iCs w:val="0"/>
          <w:caps w:val="0"/>
          <w:color w:val="333333"/>
          <w:spacing w:val="0"/>
          <w:sz w:val="32"/>
          <w:szCs w:val="32"/>
          <w:shd w:val="clear" w:fill="FFFFFF"/>
        </w:rPr>
        <w:t>条、省市法律法规</w:t>
      </w:r>
      <w:r>
        <w:rPr>
          <w:rFonts w:hint="eastAsia" w:ascii="宋体" w:hAnsi="宋体" w:eastAsia="宋体" w:cs="宋体"/>
          <w:i w:val="0"/>
          <w:iCs w:val="0"/>
          <w:caps w:val="0"/>
          <w:color w:val="333333"/>
          <w:spacing w:val="0"/>
          <w:sz w:val="32"/>
          <w:szCs w:val="32"/>
          <w:shd w:val="clear" w:fill="FFFFFF"/>
          <w:lang w:val="en-US" w:eastAsia="zh-CN"/>
        </w:rPr>
        <w:t>3</w:t>
      </w:r>
      <w:r>
        <w:rPr>
          <w:rFonts w:hint="eastAsia" w:ascii="宋体" w:hAnsi="宋体" w:eastAsia="宋体" w:cs="宋体"/>
          <w:i w:val="0"/>
          <w:iCs w:val="0"/>
          <w:caps w:val="0"/>
          <w:color w:val="333333"/>
          <w:spacing w:val="0"/>
          <w:sz w:val="32"/>
          <w:szCs w:val="32"/>
          <w:shd w:val="clear" w:fill="FFFFFF"/>
        </w:rPr>
        <w:t>条、县政府文件1条、政策解读</w:t>
      </w:r>
      <w:r>
        <w:rPr>
          <w:rFonts w:hint="eastAsia" w:ascii="宋体" w:hAnsi="宋体" w:eastAsia="宋体" w:cs="宋体"/>
          <w:i w:val="0"/>
          <w:iCs w:val="0"/>
          <w:caps w:val="0"/>
          <w:color w:val="333333"/>
          <w:spacing w:val="0"/>
          <w:sz w:val="32"/>
          <w:szCs w:val="32"/>
          <w:shd w:val="clear" w:fill="FFFFFF"/>
          <w:lang w:val="en-US" w:eastAsia="zh-CN"/>
        </w:rPr>
        <w:t>8</w:t>
      </w:r>
      <w:r>
        <w:rPr>
          <w:rFonts w:hint="eastAsia" w:ascii="宋体" w:hAnsi="宋体" w:eastAsia="宋体" w:cs="宋体"/>
          <w:i w:val="0"/>
          <w:iCs w:val="0"/>
          <w:caps w:val="0"/>
          <w:color w:val="333333"/>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2.管理公开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权责清单1条、行政执法公示</w:t>
      </w:r>
      <w:r>
        <w:rPr>
          <w:rFonts w:hint="eastAsia" w:ascii="宋体" w:hAnsi="宋体" w:eastAsia="宋体" w:cs="宋体"/>
          <w:i w:val="0"/>
          <w:iCs w:val="0"/>
          <w:caps w:val="0"/>
          <w:color w:val="333333"/>
          <w:spacing w:val="0"/>
          <w:sz w:val="32"/>
          <w:szCs w:val="32"/>
          <w:shd w:val="clear" w:fill="FFFFFF"/>
          <w:lang w:val="en-US" w:eastAsia="zh-CN"/>
        </w:rPr>
        <w:t>12</w:t>
      </w:r>
      <w:r>
        <w:rPr>
          <w:rFonts w:hint="eastAsia" w:ascii="宋体" w:hAnsi="宋体" w:eastAsia="宋体" w:cs="宋体"/>
          <w:i w:val="0"/>
          <w:iCs w:val="0"/>
          <w:caps w:val="0"/>
          <w:color w:val="333333"/>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3.服务公开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政务动态</w:t>
      </w:r>
      <w:r>
        <w:rPr>
          <w:rFonts w:hint="eastAsia" w:ascii="宋体" w:hAnsi="宋体" w:eastAsia="宋体" w:cs="宋体"/>
          <w:i w:val="0"/>
          <w:iCs w:val="0"/>
          <w:caps w:val="0"/>
          <w:color w:val="333333"/>
          <w:spacing w:val="0"/>
          <w:sz w:val="32"/>
          <w:szCs w:val="32"/>
          <w:shd w:val="clear" w:fill="FFFFFF"/>
          <w:lang w:val="en-US" w:eastAsia="zh-CN"/>
        </w:rPr>
        <w:t>80</w:t>
      </w:r>
      <w:r>
        <w:rPr>
          <w:rFonts w:hint="eastAsia" w:ascii="宋体" w:hAnsi="宋体" w:eastAsia="宋体" w:cs="宋体"/>
          <w:i w:val="0"/>
          <w:iCs w:val="0"/>
          <w:caps w:val="0"/>
          <w:color w:val="333333"/>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4.结果公开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rPr>
          <w:rFonts w:hint="eastAsia" w:ascii="宋体" w:hAnsi="宋体" w:eastAsia="宋体" w:cs="宋体"/>
          <w:i w:val="0"/>
          <w:iCs w:val="0"/>
          <w:caps w:val="0"/>
          <w:color w:val="333333"/>
          <w:spacing w:val="0"/>
          <w:sz w:val="32"/>
          <w:szCs w:val="32"/>
          <w:shd w:val="clear" w:fill="FFFFFF"/>
        </w:rPr>
      </w:pPr>
      <w:r>
        <w:rPr>
          <w:rFonts w:hint="eastAsia" w:ascii="宋体" w:hAnsi="宋体" w:eastAsia="宋体" w:cs="宋体"/>
          <w:i w:val="0"/>
          <w:iCs w:val="0"/>
          <w:caps w:val="0"/>
          <w:color w:val="333333"/>
          <w:spacing w:val="0"/>
          <w:sz w:val="32"/>
          <w:szCs w:val="32"/>
          <w:shd w:val="clear" w:fill="FFFFFF"/>
        </w:rPr>
        <w:t>发展规划1条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5.执行公开（重点领域信息公开）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财政预决算</w:t>
      </w:r>
      <w:r>
        <w:rPr>
          <w:rFonts w:hint="eastAsia" w:ascii="宋体" w:hAnsi="宋体" w:eastAsia="宋体" w:cs="宋体"/>
          <w:i w:val="0"/>
          <w:iCs w:val="0"/>
          <w:caps w:val="0"/>
          <w:color w:val="333333"/>
          <w:spacing w:val="0"/>
          <w:sz w:val="32"/>
          <w:szCs w:val="32"/>
          <w:shd w:val="clear" w:fill="FFFFFF"/>
          <w:lang w:val="en-US" w:eastAsia="zh-CN"/>
        </w:rPr>
        <w:t>2</w:t>
      </w:r>
      <w:r>
        <w:rPr>
          <w:rFonts w:hint="eastAsia" w:ascii="宋体" w:hAnsi="宋体" w:eastAsia="宋体" w:cs="宋体"/>
          <w:i w:val="0"/>
          <w:iCs w:val="0"/>
          <w:caps w:val="0"/>
          <w:color w:val="333333"/>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202</w:t>
      </w:r>
      <w:r>
        <w:rPr>
          <w:rFonts w:hint="eastAsia" w:ascii="宋体" w:hAnsi="宋体" w:eastAsia="宋体" w:cs="宋体"/>
          <w:i w:val="0"/>
          <w:iCs w:val="0"/>
          <w:caps w:val="0"/>
          <w:color w:val="333333"/>
          <w:spacing w:val="0"/>
          <w:sz w:val="32"/>
          <w:szCs w:val="32"/>
          <w:shd w:val="clear" w:fill="FFFFFF"/>
          <w:lang w:val="en-US" w:eastAsia="zh-CN"/>
        </w:rPr>
        <w:t>1</w:t>
      </w:r>
      <w:r>
        <w:rPr>
          <w:rFonts w:hint="eastAsia" w:ascii="宋体" w:hAnsi="宋体" w:eastAsia="宋体" w:cs="宋体"/>
          <w:i w:val="0"/>
          <w:iCs w:val="0"/>
          <w:caps w:val="0"/>
          <w:color w:val="333333"/>
          <w:spacing w:val="0"/>
          <w:sz w:val="32"/>
          <w:szCs w:val="32"/>
          <w:shd w:val="clear" w:fill="FFFFFF"/>
        </w:rPr>
        <w:t>年我局无受理依申请公开政府信息。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1.规范化标准化建设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为进一步规范政府信息公开内容，提升政府信息公开工作水平，我局对政府信息公开的范围、政府信息公开的内容、政府信息公开的形式、政府信息公开的制度等作了明确。并按照组织健全、制度严密、标准统一、运作规范的要求,对政府信息公开内容的补充、</w:t>
      </w:r>
      <w:r>
        <w:rPr>
          <w:rFonts w:hint="eastAsia" w:ascii="宋体" w:hAnsi="宋体" w:eastAsia="宋体" w:cs="宋体"/>
          <w:i w:val="0"/>
          <w:iCs w:val="0"/>
          <w:caps w:val="0"/>
          <w:color w:val="333333"/>
          <w:spacing w:val="0"/>
          <w:sz w:val="32"/>
          <w:szCs w:val="32"/>
          <w:shd w:val="clear" w:fill="FFFFFF"/>
          <w:lang w:val="en-US" w:eastAsia="zh-CN"/>
        </w:rPr>
        <w:t>已</w:t>
      </w:r>
      <w:r>
        <w:rPr>
          <w:rFonts w:hint="eastAsia" w:ascii="宋体" w:hAnsi="宋体" w:eastAsia="宋体" w:cs="宋体"/>
          <w:i w:val="0"/>
          <w:iCs w:val="0"/>
          <w:caps w:val="0"/>
          <w:color w:val="333333"/>
          <w:spacing w:val="0"/>
          <w:sz w:val="32"/>
          <w:szCs w:val="32"/>
          <w:shd w:val="clear" w:fill="FFFFFF"/>
        </w:rPr>
        <w:t>公开内容的删补和时限做出了规定，进一步充实了我局政府信息公开内容。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2.数字化管理（加大数据公开力度）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我局坚持将政务公开程序落到实处，严格遵守公开程序，确保“应公开尽公开”，确因特殊理由不能公开的事项，需作出相应说明，切实提高政务信息公开的透明度，提升群众政务参与度。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3.规范信息审核发布机制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我局制定了信息公开审核制度，由责任股室负责信息收集，局业务分管领导和信息公开工作分管领导审核，局主要领导审核同意的处理流程，坚决杜绝了涉密信息的公开。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4.规范性文件清理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做好规范性文件的立改废，针对我局发布的规章和规范性文件将及时进行了全面清理。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1.充分利用和发挥好政府门户网站第一平台作用，设立魅力铅山专栏，涉及吃住行游购娱的方方面面，全年共发布信息</w:t>
      </w:r>
      <w:r>
        <w:rPr>
          <w:rFonts w:hint="eastAsia" w:ascii="宋体" w:hAnsi="宋体" w:eastAsia="宋体" w:cs="宋体"/>
          <w:i w:val="0"/>
          <w:iCs w:val="0"/>
          <w:caps w:val="0"/>
          <w:color w:val="333333"/>
          <w:spacing w:val="0"/>
          <w:sz w:val="32"/>
          <w:szCs w:val="32"/>
          <w:shd w:val="clear" w:fill="FFFFFF"/>
          <w:lang w:val="en-US" w:eastAsia="zh-CN"/>
        </w:rPr>
        <w:t>37</w:t>
      </w:r>
      <w:r>
        <w:rPr>
          <w:rFonts w:hint="eastAsia" w:ascii="宋体" w:hAnsi="宋体" w:eastAsia="宋体" w:cs="宋体"/>
          <w:i w:val="0"/>
          <w:iCs w:val="0"/>
          <w:caps w:val="0"/>
          <w:color w:val="333333"/>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2.网站集约化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我局严格遵照铅山县委县政府的统一标准体系、统一技术平台、统一安全防护、统一运维监管的要求，推进数据融通、服务融通、应用融通，建设集约化的政务服务平台。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3.网站监管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我局根据省市县三级对政府网站及政务新媒体日常管理和常态化监管的工作要求，严格按照《政府网站与政务新媒体检查指标》的标准进行平台的更新和完善。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（五）监督保障（工作考核、社会评议和责任追究结果情况）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1.工作考核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000000"/>
          <w:spacing w:val="0"/>
          <w:sz w:val="32"/>
          <w:szCs w:val="32"/>
          <w:shd w:val="clear" w:fill="FFFFFF"/>
        </w:rPr>
        <w:t>根据政府信息公开与政务公开工作绩效考评实施方案，结合我局工作实际将政务公开整合进干部考核办法中。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2.社会评议和责任追究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000000"/>
          <w:spacing w:val="0"/>
          <w:sz w:val="32"/>
          <w:szCs w:val="32"/>
          <w:shd w:val="clear" w:fill="FFFFFF"/>
        </w:rPr>
        <w:t>采取发放征求意见表的形式邀请人大代表、政协委员、社会群众等对政务公开工作进行评议和社会监督，保障人民群众参与权、表达权、监督权，推动政务服务工作的创新、透明与开放；依据《政务公开责任追究制度》，建立分级负责，责任落实机制。局主要领导对政务公开工作负主要责任，分管领导负直接责任，责任股室负责人和具体工作人员负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3.组织领导、监督检查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为有效的推进我局政府务信息公开工作，我局完善了信息公开制度《铅山县文广新旅局政务公开制度》，安排专人负责政务信息公开工作，及时上报公开信息，让群众能够及时了解我局工作情况。成立了由</w:t>
      </w:r>
      <w:r>
        <w:rPr>
          <w:rFonts w:hint="eastAsia" w:ascii="宋体" w:hAnsi="宋体" w:eastAsia="宋体" w:cs="宋体"/>
          <w:i w:val="0"/>
          <w:iCs w:val="0"/>
          <w:caps w:val="0"/>
          <w:color w:val="333333"/>
          <w:spacing w:val="0"/>
          <w:sz w:val="32"/>
          <w:szCs w:val="32"/>
          <w:shd w:val="clear" w:fill="FFFFFF"/>
          <w:lang w:val="en-US" w:eastAsia="zh-CN"/>
        </w:rPr>
        <w:t>党组书记费胜辉</w:t>
      </w:r>
      <w:r>
        <w:rPr>
          <w:rFonts w:hint="eastAsia" w:ascii="宋体" w:hAnsi="宋体" w:eastAsia="宋体" w:cs="宋体"/>
          <w:i w:val="0"/>
          <w:iCs w:val="0"/>
          <w:caps w:val="0"/>
          <w:color w:val="333333"/>
          <w:spacing w:val="0"/>
          <w:sz w:val="32"/>
          <w:szCs w:val="32"/>
          <w:shd w:val="clear" w:fill="FFFFFF"/>
        </w:rPr>
        <w:t>任组长，分管领导熊卫东任副组长、相关股室责任人为成员的政务公开工作领导小组，设办公室于局办公室，负责政务信息公开信息的收集、发布，做到公开及时、公开真实。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420" w:right="0" w:firstLine="560"/>
        <w:jc w:val="both"/>
      </w:pPr>
      <w:r>
        <w:rPr>
          <w:rFonts w:hint="default" w:ascii="Times New Roman" w:hAnsi="Times New Roman" w:eastAsia="微软雅黑" w:cs="Times New Roman"/>
          <w:i w:val="0"/>
          <w:iCs w:val="0"/>
          <w:caps w:val="0"/>
          <w:color w:val="333333"/>
          <w:spacing w:val="0"/>
          <w:sz w:val="28"/>
          <w:szCs w:val="2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9"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rPr>
                <w:rFonts w:hint="default"/>
                <w:lang w:val="en-US"/>
              </w:rPr>
            </w:pPr>
            <w:r>
              <w:rPr>
                <w:rFonts w:hint="eastAsia" w:ascii="宋体" w:hAnsi="宋体" w:eastAsia="宋体" w:cs="宋体"/>
                <w:kern w:val="0"/>
                <w:sz w:val="22"/>
                <w:szCs w:val="22"/>
                <w:lang w:val="en-US" w:eastAsia="zh-CN" w:bidi="ar"/>
              </w:rPr>
              <w:t>10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rPr>
                <w:rFonts w:hint="default"/>
                <w:lang w:val="en-US"/>
              </w:rPr>
            </w:pPr>
            <w:r>
              <w:rPr>
                <w:rFonts w:hint="eastAsia" w:ascii="宋体" w:hAnsi="宋体" w:eastAsia="宋体" w:cs="宋体"/>
                <w:kern w:val="0"/>
                <w:sz w:val="22"/>
                <w:szCs w:val="22"/>
                <w:lang w:val="en-US" w:eastAsia="zh-CN" w:bidi="ar"/>
              </w:rPr>
              <w:t>10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rPr>
                <w:rFonts w:hint="default"/>
                <w:lang w:val="en-US"/>
              </w:rPr>
            </w:pPr>
            <w:r>
              <w:rPr>
                <w:rFonts w:hint="eastAsia" w:ascii="宋体" w:hAnsi="宋体" w:eastAsia="宋体" w:cs="宋体"/>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本年增/</w:t>
            </w:r>
            <w:r>
              <w:rPr>
                <w:rFonts w:hint="eastAsia" w:ascii="宋体" w:hAnsi="宋体" w:eastAsia="宋体" w:cs="宋体"/>
                <w:color w:val="000000"/>
                <w:kern w:val="0"/>
                <w:sz w:val="21"/>
                <w:szCs w:val="21"/>
                <w:lang w:val="en-US" w:eastAsia="zh-CN" w:bidi="ar"/>
              </w:rPr>
              <w:t>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8</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rPr>
                <w:rFonts w:hint="default"/>
                <w:lang w:val="en-US"/>
              </w:rPr>
            </w:pPr>
            <w:r>
              <w:rPr>
                <w:rFonts w:hint="eastAsia" w:ascii="宋体" w:hAnsi="宋体" w:eastAsia="宋体" w:cs="宋体"/>
                <w:kern w:val="0"/>
                <w:sz w:val="22"/>
                <w:szCs w:val="22"/>
                <w:lang w:val="en-US" w:eastAsia="zh-CN" w:bidi="ar"/>
              </w:rPr>
              <w:t>12</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rPr>
                <w:rFonts w:hint="default"/>
                <w:lang w:val="en-US"/>
              </w:rPr>
            </w:pPr>
            <w:r>
              <w:rPr>
                <w:rFonts w:hint="eastAsia" w:ascii="宋体" w:hAnsi="宋体" w:eastAsia="宋体" w:cs="宋体"/>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本年增/</w:t>
            </w:r>
            <w:r>
              <w:rPr>
                <w:rFonts w:hint="eastAsia" w:ascii="宋体" w:hAnsi="宋体" w:eastAsia="宋体" w:cs="宋体"/>
                <w:color w:val="000000"/>
                <w:kern w:val="0"/>
                <w:sz w:val="21"/>
                <w:szCs w:val="21"/>
                <w:lang w:val="en-US" w:eastAsia="zh-CN" w:bidi="ar"/>
              </w:rPr>
              <w:t>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本年增/</w:t>
            </w:r>
            <w:r>
              <w:rPr>
                <w:rFonts w:hint="eastAsia" w:ascii="宋体" w:hAnsi="宋体" w:eastAsia="宋体" w:cs="宋体"/>
                <w:color w:val="000000"/>
                <w:kern w:val="0"/>
                <w:sz w:val="21"/>
                <w:szCs w:val="21"/>
                <w:lang w:val="en-US" w:eastAsia="zh-CN" w:bidi="ar"/>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color w:val="000000"/>
                <w:kern w:val="0"/>
                <w:sz w:val="21"/>
                <w:szCs w:val="21"/>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color w:val="000000"/>
                <w:kern w:val="0"/>
                <w:sz w:val="21"/>
                <w:szCs w:val="21"/>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center"/>
            </w:pPr>
            <w:r>
              <w:rPr>
                <w:rFonts w:hint="eastAsia" w:ascii="宋体" w:hAnsi="宋体" w:eastAsia="宋体" w:cs="宋体"/>
                <w:kern w:val="0"/>
                <w:sz w:val="28"/>
                <w:szCs w:val="28"/>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jc w:val="both"/>
      </w:pPr>
      <w:r>
        <w:rPr>
          <w:rFonts w:hint="default" w:ascii="Times New Roman" w:hAnsi="Times New Roman" w:eastAsia="微软雅黑" w:cs="Times New Roman"/>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3" w:lineRule="atLeast"/>
        <w:ind w:left="0" w:right="0" w:firstLine="562"/>
        <w:jc w:val="both"/>
      </w:pPr>
      <w:r>
        <w:rPr>
          <w:rFonts w:hint="eastAsia" w:ascii="宋体" w:hAnsi="宋体" w:eastAsia="宋体" w:cs="宋体"/>
          <w:b/>
          <w:bCs/>
          <w:i w:val="0"/>
          <w:iCs w:val="0"/>
          <w:caps w:val="0"/>
          <w:color w:val="333333"/>
          <w:spacing w:val="0"/>
          <w:sz w:val="28"/>
          <w:szCs w:val="2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1266"/>
        <w:gridCol w:w="1182"/>
        <w:gridCol w:w="784"/>
        <w:gridCol w:w="766"/>
        <w:gridCol w:w="766"/>
        <w:gridCol w:w="766"/>
        <w:gridCol w:w="803"/>
        <w:gridCol w:w="766"/>
        <w:gridCol w:w="9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5"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（本列数据的勾稽关系为：第一项加第二项之和，等于第三项加第四项之和）</w:t>
            </w:r>
          </w:p>
        </w:tc>
        <w:tc>
          <w:tcPr>
            <w:tcW w:w="534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372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9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自然人</w:t>
            </w:r>
          </w:p>
        </w:tc>
        <w:tc>
          <w:tcPr>
            <w:tcW w:w="381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商业企业</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科研机构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社会公益组织</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法律服务机构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9" w:hRule="atLeast"/>
          <w:jc w:val="center"/>
        </w:trPr>
        <w:tc>
          <w:tcPr>
            <w:tcW w:w="372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一、本年新收政府信息公开申请数量</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7" w:hRule="atLeast"/>
          <w:jc w:val="center"/>
        </w:trPr>
        <w:tc>
          <w:tcPr>
            <w:tcW w:w="372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二、上年结转政府信息公开申请数量</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三、本年度办理结果</w:t>
            </w:r>
          </w:p>
        </w:tc>
        <w:tc>
          <w:tcPr>
            <w:tcW w:w="26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Times New Roman" w:hAnsi="Times New Roman" w:cs="Times New Roman" w:eastAsiaTheme="minorEastAsia"/>
                <w:kern w:val="0"/>
                <w:sz w:val="21"/>
                <w:szCs w:val="21"/>
                <w:lang w:val="en-US" w:eastAsia="zh-CN" w:bidi="ar"/>
              </w:rPr>
              <w:t>（一）予以公开</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Times New Roman" w:hAnsi="Times New Roman" w:cs="Times New Roman" w:eastAsiaTheme="minorEastAsia"/>
                <w:kern w:val="0"/>
                <w:sz w:val="21"/>
                <w:szCs w:val="21"/>
                <w:lang w:val="en-US" w:eastAsia="zh-CN" w:bidi="ar"/>
              </w:rPr>
              <w:t>（二）部分公开（区分处理的，只计这一情形，不计其他情形）</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Times New Roman" w:hAnsi="Times New Roman" w:cs="Times New Roman" w:eastAsiaTheme="minorEastAsia"/>
                <w:kern w:val="0"/>
                <w:sz w:val="21"/>
                <w:szCs w:val="21"/>
                <w:lang w:val="en-US" w:eastAsia="zh-CN" w:bidi="ar"/>
              </w:rPr>
              <w:t>（三）不予公开</w:t>
            </w: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1.</w:t>
            </w:r>
            <w:r>
              <w:rPr>
                <w:rFonts w:ascii="楷体" w:hAnsi="楷体" w:eastAsia="楷体" w:cs="楷体"/>
                <w:kern w:val="0"/>
                <w:sz w:val="21"/>
                <w:szCs w:val="21"/>
                <w:lang w:val="en-US" w:eastAsia="zh-CN" w:bidi="ar"/>
              </w:rPr>
              <w:t>属于国家秘密</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2.</w:t>
            </w:r>
            <w:r>
              <w:rPr>
                <w:rFonts w:hint="eastAsia" w:ascii="楷体" w:hAnsi="楷体" w:eastAsia="楷体" w:cs="楷体"/>
                <w:kern w:val="0"/>
                <w:sz w:val="21"/>
                <w:szCs w:val="21"/>
                <w:lang w:val="en-US" w:eastAsia="zh-CN" w:bidi="ar"/>
              </w:rPr>
              <w:t>其他法律行政法规禁止公开</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3.</w:t>
            </w:r>
            <w:r>
              <w:rPr>
                <w:rFonts w:hint="eastAsia" w:ascii="楷体" w:hAnsi="楷体" w:eastAsia="楷体" w:cs="楷体"/>
                <w:kern w:val="0"/>
                <w:sz w:val="21"/>
                <w:szCs w:val="21"/>
                <w:lang w:val="en-US" w:eastAsia="zh-CN" w:bidi="ar"/>
              </w:rPr>
              <w:t>危及</w:t>
            </w:r>
            <w:r>
              <w:rPr>
                <w:rFonts w:hint="default" w:ascii="Times New Roman" w:hAnsi="Times New Roman" w:cs="Times New Roman" w:eastAsiaTheme="minorEastAsia"/>
                <w:kern w:val="0"/>
                <w:sz w:val="21"/>
                <w:szCs w:val="21"/>
                <w:lang w:val="en-US" w:eastAsia="zh-CN" w:bidi="ar"/>
              </w:rPr>
              <w:t>“</w:t>
            </w:r>
            <w:r>
              <w:rPr>
                <w:rFonts w:hint="eastAsia" w:ascii="楷体" w:hAnsi="楷体" w:eastAsia="楷体" w:cs="楷体"/>
                <w:kern w:val="0"/>
                <w:sz w:val="21"/>
                <w:szCs w:val="21"/>
                <w:lang w:val="en-US" w:eastAsia="zh-CN" w:bidi="ar"/>
              </w:rPr>
              <w:t>三安全一稳定</w:t>
            </w:r>
            <w:r>
              <w:rPr>
                <w:rFonts w:hint="default" w:ascii="Times New Roman" w:hAnsi="Times New Roman" w:cs="Times New Roman" w:eastAsiaTheme="minorEastAsia"/>
                <w:kern w:val="0"/>
                <w:sz w:val="21"/>
                <w:szCs w:val="21"/>
                <w:lang w:val="en-US" w:eastAsia="zh-CN" w:bidi="ar"/>
              </w:rPr>
              <w:t>”</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4.</w:t>
            </w:r>
            <w:r>
              <w:rPr>
                <w:rFonts w:hint="eastAsia" w:ascii="楷体" w:hAnsi="楷体" w:eastAsia="楷体" w:cs="楷体"/>
                <w:kern w:val="0"/>
                <w:sz w:val="21"/>
                <w:szCs w:val="21"/>
                <w:lang w:val="en-US" w:eastAsia="zh-CN" w:bidi="ar"/>
              </w:rPr>
              <w:t>保护第三方合法权益</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5.</w:t>
            </w:r>
            <w:r>
              <w:rPr>
                <w:rFonts w:hint="eastAsia" w:ascii="楷体" w:hAnsi="楷体" w:eastAsia="楷体" w:cs="楷体"/>
                <w:kern w:val="0"/>
                <w:sz w:val="21"/>
                <w:szCs w:val="21"/>
                <w:lang w:val="en-US" w:eastAsia="zh-CN" w:bidi="ar"/>
              </w:rPr>
              <w:t>属于三类内部事务信息</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6.</w:t>
            </w:r>
            <w:r>
              <w:rPr>
                <w:rFonts w:hint="eastAsia" w:ascii="楷体" w:hAnsi="楷体" w:eastAsia="楷体" w:cs="楷体"/>
                <w:kern w:val="0"/>
                <w:sz w:val="21"/>
                <w:szCs w:val="21"/>
                <w:lang w:val="en-US" w:eastAsia="zh-CN" w:bidi="ar"/>
              </w:rPr>
              <w:t>属于四类过程性信息</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7.</w:t>
            </w:r>
            <w:r>
              <w:rPr>
                <w:rFonts w:hint="eastAsia" w:ascii="楷体" w:hAnsi="楷体" w:eastAsia="楷体" w:cs="楷体"/>
                <w:kern w:val="0"/>
                <w:sz w:val="21"/>
                <w:szCs w:val="21"/>
                <w:lang w:val="en-US" w:eastAsia="zh-CN" w:bidi="ar"/>
              </w:rPr>
              <w:t>属于行政执法案卷</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8.</w:t>
            </w:r>
            <w:r>
              <w:rPr>
                <w:rFonts w:hint="eastAsia" w:ascii="楷体" w:hAnsi="楷体" w:eastAsia="楷体" w:cs="楷体"/>
                <w:kern w:val="0"/>
                <w:sz w:val="21"/>
                <w:szCs w:val="21"/>
                <w:lang w:val="en-US" w:eastAsia="zh-CN" w:bidi="ar"/>
              </w:rPr>
              <w:t>属于行政查询事项</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Times New Roman" w:hAnsi="Times New Roman" w:cs="Times New Roman" w:eastAsiaTheme="minorEastAsia"/>
                <w:kern w:val="0"/>
                <w:sz w:val="21"/>
                <w:szCs w:val="21"/>
                <w:lang w:val="en-US" w:eastAsia="zh-CN" w:bidi="ar"/>
              </w:rPr>
              <w:t>（四）无法提供</w:t>
            </w: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1.</w:t>
            </w:r>
            <w:r>
              <w:rPr>
                <w:rFonts w:hint="eastAsia" w:ascii="楷体" w:hAnsi="楷体" w:eastAsia="楷体" w:cs="楷体"/>
                <w:kern w:val="0"/>
                <w:sz w:val="21"/>
                <w:szCs w:val="21"/>
                <w:lang w:val="en-US" w:eastAsia="zh-CN" w:bidi="ar"/>
              </w:rPr>
              <w:t>本机关不掌握相关政府信息</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2.</w:t>
            </w:r>
            <w:r>
              <w:rPr>
                <w:rFonts w:hint="eastAsia" w:ascii="楷体" w:hAnsi="楷体" w:eastAsia="楷体" w:cs="楷体"/>
                <w:kern w:val="0"/>
                <w:sz w:val="21"/>
                <w:szCs w:val="21"/>
                <w:lang w:val="en-US" w:eastAsia="zh-CN" w:bidi="ar"/>
              </w:rPr>
              <w:t>没有现成信息需要另行制作</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3.</w:t>
            </w:r>
            <w:r>
              <w:rPr>
                <w:rFonts w:hint="eastAsia" w:ascii="楷体" w:hAnsi="楷体" w:eastAsia="楷体" w:cs="楷体"/>
                <w:kern w:val="0"/>
                <w:sz w:val="21"/>
                <w:szCs w:val="21"/>
                <w:lang w:val="en-US" w:eastAsia="zh-CN" w:bidi="ar"/>
              </w:rPr>
              <w:t>补正后申请内容仍不明确</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（五）不予处理</w:t>
            </w: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1.</w:t>
            </w:r>
            <w:r>
              <w:rPr>
                <w:rFonts w:hint="eastAsia" w:ascii="楷体" w:hAnsi="楷体" w:eastAsia="楷体" w:cs="楷体"/>
                <w:kern w:val="0"/>
                <w:sz w:val="21"/>
                <w:szCs w:val="21"/>
                <w:lang w:val="en-US" w:eastAsia="zh-CN" w:bidi="ar"/>
              </w:rPr>
              <w:t>信访举报投诉类申请</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2.</w:t>
            </w:r>
            <w:r>
              <w:rPr>
                <w:rFonts w:hint="eastAsia" w:ascii="楷体" w:hAnsi="楷体" w:eastAsia="楷体" w:cs="楷体"/>
                <w:kern w:val="0"/>
                <w:sz w:val="21"/>
                <w:szCs w:val="21"/>
                <w:lang w:val="en-US" w:eastAsia="zh-CN" w:bidi="ar"/>
              </w:rPr>
              <w:t>重复申请</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3.</w:t>
            </w:r>
            <w:r>
              <w:rPr>
                <w:rFonts w:hint="eastAsia" w:ascii="楷体" w:hAnsi="楷体" w:eastAsia="楷体" w:cs="楷体"/>
                <w:kern w:val="0"/>
                <w:sz w:val="21"/>
                <w:szCs w:val="21"/>
                <w:lang w:val="en-US" w:eastAsia="zh-CN" w:bidi="ar"/>
              </w:rPr>
              <w:t>要求提供公开出版物</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4.</w:t>
            </w:r>
            <w:r>
              <w:rPr>
                <w:rFonts w:hint="eastAsia" w:ascii="楷体" w:hAnsi="楷体" w:eastAsia="楷体" w:cs="楷体"/>
                <w:kern w:val="0"/>
                <w:sz w:val="21"/>
                <w:szCs w:val="21"/>
                <w:lang w:val="en-US" w:eastAsia="zh-CN" w:bidi="ar"/>
              </w:rPr>
              <w:t>无正当理由大量反复申请</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eastAsiaTheme="minorEastAsia"/>
                <w:kern w:val="0"/>
                <w:sz w:val="21"/>
                <w:szCs w:val="21"/>
                <w:lang w:val="en-US" w:eastAsia="zh-CN" w:bidi="ar"/>
              </w:rPr>
              <w:t>5.</w:t>
            </w:r>
            <w:r>
              <w:rPr>
                <w:rFonts w:hint="eastAsia" w:ascii="楷体" w:hAnsi="楷体" w:eastAsia="楷体" w:cs="楷体"/>
                <w:kern w:val="0"/>
                <w:sz w:val="21"/>
                <w:szCs w:val="21"/>
                <w:lang w:val="en-US" w:eastAsia="zh-CN" w:bidi="ar"/>
              </w:rPr>
              <w:t>要求行政机关确认或重新出具已获取信息</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（六）其他处理</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（七）总计</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2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rFonts w:hint="default" w:ascii="Times New Roman" w:hAnsi="Times New Roman" w:cs="Times New Roman" w:eastAsiaTheme="minorEastAsia"/>
                <w:kern w:val="0"/>
                <w:sz w:val="21"/>
                <w:szCs w:val="21"/>
                <w:lang w:val="en-US" w:eastAsia="zh-CN" w:bidi="ar"/>
              </w:rPr>
              <w:t>四、结转下年度继续办理</w:t>
            </w:r>
          </w:p>
        </w:tc>
        <w:tc>
          <w:tcPr>
            <w:tcW w:w="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40"/>
              <w:jc w:val="center"/>
            </w:pPr>
            <w:r>
              <w:rPr>
                <w:rFonts w:hint="eastAsia" w:ascii="宋体" w:hAnsi="宋体" w:eastAsia="宋体" w:cs="宋体"/>
                <w:kern w:val="0"/>
                <w:sz w:val="22"/>
                <w:szCs w:val="22"/>
                <w:lang w:val="en-US" w:eastAsia="zh-CN" w:bidi="ar"/>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center"/>
            </w:pPr>
            <w:r>
              <w:rPr>
                <w:rFonts w:hint="eastAsia" w:ascii="宋体" w:hAnsi="宋体" w:eastAsia="宋体" w:cs="宋体"/>
                <w:kern w:val="0"/>
                <w:sz w:val="28"/>
                <w:szCs w:val="28"/>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32"/>
          <w:szCs w:val="32"/>
          <w:shd w:val="clear" w:fill="FFFFFF"/>
          <w:lang w:val="en-US" w:eastAsia="zh-CN" w:bidi="ar"/>
        </w:rPr>
        <w:t>四、政府信息公开行政复议、行政诉讼情况</w:t>
      </w:r>
    </w:p>
    <w:tbl>
      <w:tblPr>
        <w:tblStyle w:val="3"/>
        <w:tblW w:w="883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87"/>
        <w:gridCol w:w="534"/>
        <w:gridCol w:w="542"/>
        <w:gridCol w:w="543"/>
        <w:gridCol w:w="543"/>
        <w:gridCol w:w="534"/>
        <w:gridCol w:w="13"/>
        <w:gridCol w:w="538"/>
        <w:gridCol w:w="3"/>
        <w:gridCol w:w="544"/>
        <w:gridCol w:w="543"/>
        <w:gridCol w:w="4"/>
        <w:gridCol w:w="541"/>
        <w:gridCol w:w="540"/>
        <w:gridCol w:w="13"/>
        <w:gridCol w:w="533"/>
        <w:gridCol w:w="2"/>
        <w:gridCol w:w="528"/>
        <w:gridCol w:w="16"/>
        <w:gridCol w:w="523"/>
        <w:gridCol w:w="20"/>
        <w:gridCol w:w="670"/>
        <w:gridCol w:w="5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4" w:hRule="atLeast"/>
        </w:trPr>
        <w:tc>
          <w:tcPr>
            <w:tcW w:w="2933" w:type="dxa"/>
            <w:gridSpan w:val="5"/>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0" w:right="0" w:firstLine="1050"/>
              <w:jc w:val="left"/>
            </w:pPr>
            <w:r>
              <w:rPr>
                <w:rFonts w:hint="eastAsia" w:ascii="宋体" w:hAnsi="宋体" w:eastAsia="宋体" w:cs="宋体"/>
                <w:i w:val="0"/>
                <w:iCs w:val="0"/>
                <w:caps w:val="0"/>
                <w:color w:val="333333"/>
                <w:spacing w:val="2"/>
                <w:kern w:val="0"/>
                <w:sz w:val="20"/>
                <w:szCs w:val="20"/>
                <w:lang w:val="en-US" w:eastAsia="zh-CN" w:bidi="ar"/>
              </w:rPr>
              <w:t>行政复议</w:t>
            </w:r>
          </w:p>
        </w:tc>
        <w:tc>
          <w:tcPr>
            <w:tcW w:w="5897" w:type="dxa"/>
            <w:gridSpan w:val="18"/>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0" w:right="0" w:firstLine="2536"/>
              <w:jc w:val="left"/>
            </w:pPr>
            <w:r>
              <w:rPr>
                <w:rFonts w:hint="eastAsia" w:ascii="宋体" w:hAnsi="宋体" w:eastAsia="宋体" w:cs="宋体"/>
                <w:i w:val="0"/>
                <w:iCs w:val="0"/>
                <w:caps w:val="0"/>
                <w:color w:val="333333"/>
                <w:spacing w:val="-3"/>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4" w:hRule="atLeast"/>
        </w:trPr>
        <w:tc>
          <w:tcPr>
            <w:tcW w:w="628" w:type="dxa"/>
            <w:vMerge w:val="restart"/>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49" w:beforeAutospacing="0" w:after="0" w:afterAutospacing="0" w:line="19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维持</w:t>
            </w:r>
          </w:p>
        </w:tc>
        <w:tc>
          <w:tcPr>
            <w:tcW w:w="569" w:type="dxa"/>
            <w:vMerge w:val="restart"/>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49" w:beforeAutospacing="0" w:after="0" w:afterAutospacing="0" w:line="19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纠正</w:t>
            </w:r>
          </w:p>
        </w:tc>
        <w:tc>
          <w:tcPr>
            <w:tcW w:w="578" w:type="dxa"/>
            <w:vMerge w:val="restart"/>
            <w:tcBorders>
              <w:top w:val="single" w:color="000000" w:sz="8" w:space="0"/>
              <w:left w:val="single" w:color="000000" w:sz="8" w:space="0"/>
              <w:bottom w:val="nil"/>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210"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tc>
        <w:tc>
          <w:tcPr>
            <w:tcW w:w="579" w:type="dxa"/>
            <w:vMerge w:val="restart"/>
            <w:tcBorders>
              <w:top w:val="single" w:color="000000" w:sz="8" w:space="0"/>
              <w:left w:val="single" w:color="000000" w:sz="8" w:space="0"/>
              <w:bottom w:val="nil"/>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0" w:afterAutospacing="0" w:line="210"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审结</w:t>
            </w:r>
          </w:p>
        </w:tc>
        <w:tc>
          <w:tcPr>
            <w:tcW w:w="579"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总计</w:t>
            </w:r>
          </w:p>
        </w:tc>
        <w:tc>
          <w:tcPr>
            <w:tcW w:w="28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未经复议直接起诉</w:t>
            </w:r>
          </w:p>
        </w:tc>
        <w:tc>
          <w:tcPr>
            <w:tcW w:w="3022"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628" w:type="dxa"/>
            <w:vMerge w:val="continue"/>
            <w:tcBorders>
              <w:top w:val="nil"/>
              <w:left w:val="single" w:color="000000" w:sz="8" w:space="0"/>
              <w:bottom w:val="nil"/>
              <w:right w:val="single" w:color="000000" w:sz="8" w:space="0"/>
            </w:tcBorders>
            <w:shd w:val="clear" w:color="auto" w:fill="FFFFFF"/>
            <w:vAlign w:val="top"/>
          </w:tcPr>
          <w:p>
            <w:pPr>
              <w:rPr>
                <w:rFonts w:hint="eastAsia" w:ascii="微软雅黑" w:hAnsi="微软雅黑" w:eastAsia="微软雅黑" w:cs="微软雅黑"/>
                <w:i w:val="0"/>
                <w:iCs w:val="0"/>
                <w:caps w:val="0"/>
                <w:color w:val="333333"/>
                <w:spacing w:val="0"/>
                <w:sz w:val="27"/>
                <w:szCs w:val="27"/>
              </w:rPr>
            </w:pPr>
          </w:p>
        </w:tc>
        <w:tc>
          <w:tcPr>
            <w:tcW w:w="569" w:type="dxa"/>
            <w:vMerge w:val="continue"/>
            <w:tcBorders>
              <w:top w:val="nil"/>
              <w:left w:val="single" w:color="000000" w:sz="8" w:space="0"/>
              <w:bottom w:val="nil"/>
              <w:right w:val="single" w:color="000000" w:sz="8" w:space="0"/>
            </w:tcBorders>
            <w:shd w:val="clear" w:color="auto" w:fill="FFFFFF"/>
            <w:vAlign w:val="top"/>
          </w:tcPr>
          <w:p>
            <w:pPr>
              <w:rPr>
                <w:rFonts w:hint="eastAsia" w:ascii="微软雅黑" w:hAnsi="微软雅黑" w:eastAsia="微软雅黑" w:cs="微软雅黑"/>
                <w:i w:val="0"/>
                <w:iCs w:val="0"/>
                <w:caps w:val="0"/>
                <w:color w:val="333333"/>
                <w:spacing w:val="0"/>
                <w:sz w:val="27"/>
                <w:szCs w:val="27"/>
              </w:rPr>
            </w:pPr>
          </w:p>
        </w:tc>
        <w:tc>
          <w:tcPr>
            <w:tcW w:w="578" w:type="dxa"/>
            <w:vMerge w:val="continue"/>
            <w:tcBorders>
              <w:top w:val="single" w:color="000000" w:sz="8" w:space="0"/>
              <w:left w:val="single" w:color="000000" w:sz="8" w:space="0"/>
              <w:bottom w:val="nil"/>
              <w:right w:val="single" w:color="000000" w:sz="8" w:space="0"/>
            </w:tcBorders>
            <w:shd w:val="clear" w:color="auto" w:fill="FFFFFF"/>
            <w:vAlign w:val="top"/>
          </w:tcPr>
          <w:p>
            <w:pPr>
              <w:rPr>
                <w:rFonts w:hint="eastAsia" w:ascii="微软雅黑" w:hAnsi="微软雅黑" w:eastAsia="微软雅黑" w:cs="微软雅黑"/>
                <w:i w:val="0"/>
                <w:iCs w:val="0"/>
                <w:caps w:val="0"/>
                <w:color w:val="333333"/>
                <w:spacing w:val="0"/>
                <w:sz w:val="27"/>
                <w:szCs w:val="27"/>
              </w:rPr>
            </w:pPr>
          </w:p>
        </w:tc>
        <w:tc>
          <w:tcPr>
            <w:tcW w:w="579" w:type="dxa"/>
            <w:vMerge w:val="continue"/>
            <w:tcBorders>
              <w:top w:val="single" w:color="000000" w:sz="8" w:space="0"/>
              <w:left w:val="single" w:color="000000" w:sz="8" w:space="0"/>
              <w:bottom w:val="nil"/>
              <w:right w:val="single" w:color="000000" w:sz="8" w:space="0"/>
            </w:tcBorders>
            <w:shd w:val="clear" w:color="auto" w:fill="FFFFFF"/>
            <w:vAlign w:val="top"/>
          </w:tcPr>
          <w:p>
            <w:pPr>
              <w:rPr>
                <w:rFonts w:hint="eastAsia" w:ascii="微软雅黑" w:hAnsi="微软雅黑" w:eastAsia="微软雅黑" w:cs="微软雅黑"/>
                <w:i w:val="0"/>
                <w:iCs w:val="0"/>
                <w:caps w:val="0"/>
                <w:color w:val="333333"/>
                <w:spacing w:val="0"/>
                <w:sz w:val="27"/>
                <w:szCs w:val="27"/>
              </w:rPr>
            </w:pPr>
          </w:p>
        </w:tc>
        <w:tc>
          <w:tcPr>
            <w:tcW w:w="579" w:type="dxa"/>
            <w:vMerge w:val="continue"/>
            <w:tcBorders>
              <w:top w:val="single" w:color="000000" w:sz="8" w:space="0"/>
              <w:left w:val="single" w:color="000000" w:sz="8" w:space="0"/>
              <w:bottom w:val="nil"/>
              <w:right w:val="single" w:color="000000" w:sz="8" w:space="0"/>
            </w:tcBorders>
            <w:shd w:val="clear" w:color="auto" w:fill="FFFFFF"/>
            <w:vAlign w:val="center"/>
          </w:tcPr>
          <w:p>
            <w:pPr>
              <w:rPr>
                <w:rFonts w:hint="eastAsia" w:ascii="微软雅黑" w:hAnsi="微软雅黑" w:eastAsia="微软雅黑" w:cs="微软雅黑"/>
                <w:i w:val="0"/>
                <w:iCs w:val="0"/>
                <w:caps w:val="0"/>
                <w:color w:val="333333"/>
                <w:spacing w:val="0"/>
                <w:sz w:val="27"/>
                <w:szCs w:val="27"/>
              </w:rPr>
            </w:pPr>
          </w:p>
        </w:tc>
        <w:tc>
          <w:tcPr>
            <w:tcW w:w="583"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维持</w:t>
            </w:r>
          </w:p>
        </w:tc>
        <w:tc>
          <w:tcPr>
            <w:tcW w:w="562"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纠正</w:t>
            </w:r>
          </w:p>
        </w:tc>
        <w:tc>
          <w:tcPr>
            <w:tcW w:w="583"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tc>
        <w:tc>
          <w:tcPr>
            <w:tcW w:w="583"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审结</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总计</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维持</w:t>
            </w:r>
          </w:p>
        </w:tc>
        <w:tc>
          <w:tcPr>
            <w:tcW w:w="584" w:type="dxa"/>
            <w:gridSpan w:val="3"/>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4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纠正</w:t>
            </w:r>
          </w:p>
        </w:tc>
        <w:tc>
          <w:tcPr>
            <w:tcW w:w="584"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46"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结果</w:t>
            </w:r>
          </w:p>
        </w:tc>
        <w:tc>
          <w:tcPr>
            <w:tcW w:w="584"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48" w:beforeAutospacing="0" w:after="0" w:afterAutospacing="0" w:line="194"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7"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审结</w:t>
            </w:r>
          </w:p>
        </w:tc>
        <w:tc>
          <w:tcPr>
            <w:tcW w:w="7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i w:val="0"/>
                <w:iCs w:val="0"/>
                <w:caps w:val="0"/>
                <w:color w:val="000000"/>
                <w:spacing w:val="0"/>
                <w:kern w:val="0"/>
                <w:sz w:val="20"/>
                <w:szCs w:val="20"/>
                <w:lang w:val="en-US" w:eastAsia="zh-CN" w:bidi="ar"/>
              </w:rPr>
              <w:t>总计</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3" w:hRule="atLeast"/>
        </w:trPr>
        <w:tc>
          <w:tcPr>
            <w:tcW w:w="628"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Arial" w:hAnsi="Arial" w:eastAsia="宋体" w:cs="Arial"/>
                <w:i w:val="0"/>
                <w:iCs w:val="0"/>
                <w:caps w:val="0"/>
                <w:color w:val="333333"/>
                <w:spacing w:val="0"/>
                <w:kern w:val="0"/>
                <w:sz w:val="21"/>
                <w:szCs w:val="21"/>
                <w:lang w:val="en-US" w:eastAsia="zh-CN" w:bidi="ar"/>
              </w:rPr>
              <w:t>0</w:t>
            </w:r>
          </w:p>
        </w:tc>
        <w:tc>
          <w:tcPr>
            <w:tcW w:w="56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8"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6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gridSpan w:val="3"/>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69"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8"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68"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69"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579"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728" w:type="dxa"/>
            <w:gridSpan w:val="2"/>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i w:val="0"/>
                <w:iCs w:val="0"/>
                <w:caps w:val="0"/>
                <w:color w:val="333333"/>
                <w:spacing w:val="0"/>
                <w:kern w:val="0"/>
                <w:sz w:val="21"/>
                <w:szCs w:val="21"/>
                <w:lang w:val="en-US" w:eastAsia="zh-CN" w:bidi="ar"/>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7"/>
                <w:szCs w:val="27"/>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left"/>
        <w:rPr>
          <w:rFonts w:hint="eastAsia" w:ascii="宋体" w:hAnsi="宋体" w:eastAsia="宋体" w:cs="宋体"/>
          <w:b/>
          <w:bCs/>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default" w:ascii="Times New Roman" w:hAnsi="Times New Roman" w:eastAsia="微软雅黑" w:cs="Times New Roman"/>
          <w:i w:val="0"/>
          <w:iCs w:val="0"/>
          <w:caps w:val="0"/>
          <w:color w:val="333333"/>
          <w:spacing w:val="0"/>
          <w:sz w:val="32"/>
          <w:szCs w:val="32"/>
          <w:shd w:val="clear" w:fill="FFFFFF"/>
        </w:rPr>
        <w:t>1.202</w:t>
      </w:r>
      <w:r>
        <w:rPr>
          <w:rFonts w:hint="eastAsia" w:ascii="Times New Roman" w:hAnsi="Times New Roman" w:eastAsia="微软雅黑" w:cs="Times New Roman"/>
          <w:i w:val="0"/>
          <w:iCs w:val="0"/>
          <w:caps w:val="0"/>
          <w:color w:val="333333"/>
          <w:spacing w:val="0"/>
          <w:sz w:val="32"/>
          <w:szCs w:val="32"/>
          <w:shd w:val="clear" w:fill="FFFFFF"/>
          <w:lang w:val="en-US" w:eastAsia="zh-CN"/>
        </w:rPr>
        <w:t>1</w:t>
      </w:r>
      <w:r>
        <w:rPr>
          <w:rFonts w:hint="eastAsia" w:ascii="宋体" w:hAnsi="宋体" w:eastAsia="宋体" w:cs="宋体"/>
          <w:i w:val="0"/>
          <w:iCs w:val="0"/>
          <w:caps w:val="0"/>
          <w:color w:val="333333"/>
          <w:spacing w:val="0"/>
          <w:sz w:val="32"/>
          <w:szCs w:val="32"/>
          <w:shd w:val="clear" w:fill="FFFFFF"/>
        </w:rPr>
        <w:t>年政府信息公开工作中存在的主要问题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eastAsia" w:ascii="宋体" w:hAnsi="宋体" w:eastAsia="宋体" w:cs="宋体"/>
          <w:i w:val="0"/>
          <w:iCs w:val="0"/>
          <w:caps w:val="0"/>
          <w:color w:val="333333"/>
          <w:spacing w:val="0"/>
          <w:sz w:val="32"/>
          <w:szCs w:val="32"/>
          <w:shd w:val="clear" w:fill="FFFFFF"/>
        </w:rPr>
        <w:t>目前，我局信息公开工作规范性、主动向社会公开信息的领域、公开意识不够强，更新信息公开不够及</w:t>
      </w:r>
      <w:r>
        <w:rPr>
          <w:rFonts w:hint="eastAsia" w:ascii="宋体" w:hAnsi="宋体" w:eastAsia="宋体" w:cs="宋体"/>
          <w:i w:val="0"/>
          <w:iCs w:val="0"/>
          <w:caps w:val="0"/>
          <w:color w:val="333333"/>
          <w:spacing w:val="0"/>
          <w:sz w:val="32"/>
          <w:szCs w:val="32"/>
          <w:shd w:val="clear" w:fill="FFFFFF"/>
        </w:rPr>
        <w:t>时</w:t>
      </w:r>
      <w:r>
        <w:rPr>
          <w:rFonts w:hint="eastAsia" w:ascii="宋体" w:hAnsi="宋体" w:eastAsia="宋体" w:cs="宋体"/>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32"/>
          <w:szCs w:val="32"/>
          <w:shd w:val="clear" w:fill="FFFFFF"/>
        </w:rPr>
        <w:t>专业人员缺乏等方面还有待进一步</w:t>
      </w:r>
      <w:r>
        <w:rPr>
          <w:rFonts w:hint="eastAsia" w:ascii="宋体" w:hAnsi="宋体" w:eastAsia="宋体" w:cs="宋体"/>
          <w:i w:val="0"/>
          <w:iCs w:val="0"/>
          <w:caps w:val="0"/>
          <w:color w:val="333333"/>
          <w:spacing w:val="0"/>
          <w:sz w:val="32"/>
          <w:szCs w:val="32"/>
          <w:shd w:val="clear" w:fill="FFFFFF"/>
        </w:rPr>
        <w:t>加强和改进。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宋体" w:hAnsi="宋体" w:eastAsia="宋体" w:cs="宋体"/>
          <w:i w:val="0"/>
          <w:iCs w:val="0"/>
          <w:caps w:val="0"/>
          <w:color w:val="333333"/>
          <w:spacing w:val="0"/>
          <w:sz w:val="32"/>
          <w:szCs w:val="32"/>
          <w:shd w:val="clear" w:fill="FFFFFF"/>
        </w:rPr>
        <w:t>下一步改进措施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rPr>
          <w:rFonts w:hint="eastAsia" w:ascii="宋体" w:hAnsi="宋体" w:eastAsia="宋体" w:cs="宋体"/>
          <w:i w:val="0"/>
          <w:iCs w:val="0"/>
          <w:caps w:val="0"/>
          <w:color w:val="333333"/>
          <w:spacing w:val="0"/>
          <w:sz w:val="32"/>
          <w:szCs w:val="32"/>
          <w:shd w:val="clear" w:fill="FFFFFF"/>
        </w:rPr>
      </w:pPr>
      <w:r>
        <w:rPr>
          <w:rFonts w:hint="eastAsia" w:ascii="宋体" w:hAnsi="宋体" w:eastAsia="宋体" w:cs="宋体"/>
          <w:i w:val="0"/>
          <w:iCs w:val="0"/>
          <w:caps w:val="0"/>
          <w:color w:val="333333"/>
          <w:spacing w:val="0"/>
          <w:sz w:val="32"/>
          <w:szCs w:val="32"/>
          <w:shd w:val="clear" w:fill="FFFFFF"/>
        </w:rPr>
        <w:t>在今后的工作中</w:t>
      </w:r>
      <w:r>
        <w:rPr>
          <w:rFonts w:hint="eastAsia" w:ascii="宋体" w:hAnsi="宋体" w:eastAsia="宋体" w:cs="宋体"/>
          <w:i w:val="0"/>
          <w:iCs w:val="0"/>
          <w:caps w:val="0"/>
          <w:color w:val="333333"/>
          <w:spacing w:val="0"/>
          <w:sz w:val="32"/>
          <w:szCs w:val="32"/>
          <w:shd w:val="clear" w:fill="FFFFFF"/>
        </w:rPr>
        <w:t>，我局将进一步增强信息公开的主动性与时效性，进一步完善信息公开制度，明确政府信息公开责任，强化信息审核与发布，确保政府信息公开工作责任到位、落</w:t>
      </w:r>
      <w:bookmarkStart w:id="0" w:name="_GoBack"/>
      <w:bookmarkEnd w:id="0"/>
      <w:r>
        <w:rPr>
          <w:rFonts w:hint="eastAsia" w:ascii="宋体" w:hAnsi="宋体" w:eastAsia="宋体" w:cs="宋体"/>
          <w:i w:val="0"/>
          <w:iCs w:val="0"/>
          <w:caps w:val="0"/>
          <w:color w:val="333333"/>
          <w:spacing w:val="0"/>
          <w:sz w:val="32"/>
          <w:szCs w:val="32"/>
          <w:shd w:val="clear" w:fill="FFFFFF"/>
        </w:rPr>
        <w:t>实到位。</w:t>
      </w:r>
      <w:r>
        <w:rPr>
          <w:rFonts w:hint="eastAsia" w:ascii="宋体" w:hAnsi="宋体" w:eastAsia="宋体" w:cs="宋体"/>
          <w:i w:val="0"/>
          <w:iCs w:val="0"/>
          <w:caps w:val="0"/>
          <w:color w:val="333333"/>
          <w:spacing w:val="0"/>
          <w:sz w:val="32"/>
          <w:szCs w:val="32"/>
          <w:shd w:val="clear" w:fill="FFFFFF"/>
          <w:lang w:val="en-US" w:eastAsia="zh-CN"/>
        </w:rPr>
        <w:t>同时</w:t>
      </w:r>
      <w:r>
        <w:rPr>
          <w:rFonts w:hint="eastAsia" w:ascii="宋体" w:hAnsi="宋体" w:eastAsia="宋体" w:cs="宋体"/>
          <w:i w:val="0"/>
          <w:iCs w:val="0"/>
          <w:caps w:val="0"/>
          <w:color w:val="333333"/>
          <w:spacing w:val="0"/>
          <w:sz w:val="32"/>
          <w:szCs w:val="32"/>
          <w:shd w:val="clear" w:fill="FFFFFF"/>
        </w:rPr>
        <w:t>加强对政府信息公开专职人员的培训，进一步提高从业人员服务意识、工作意识，确保信息公开及时、有效。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both"/>
      </w:pPr>
      <w:r>
        <w:rPr>
          <w:rFonts w:hint="eastAsia" w:ascii="宋体" w:hAnsi="宋体" w:eastAsia="宋体" w:cs="宋体"/>
          <w:b/>
          <w:bCs/>
          <w:i w:val="0"/>
          <w:iCs w:val="0"/>
          <w:caps w:val="0"/>
          <w:color w:val="333333"/>
          <w:spacing w:val="0"/>
          <w:sz w:val="32"/>
          <w:szCs w:val="32"/>
          <w:shd w:val="clear" w:fill="FFFFFF"/>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宋体" w:hAnsi="宋体" w:eastAsia="宋体" w:cs="宋体"/>
          <w:i w:val="0"/>
          <w:iCs w:val="0"/>
          <w:caps w:val="0"/>
          <w:color w:val="333333"/>
          <w:spacing w:val="0"/>
          <w:kern w:val="0"/>
          <w:sz w:val="32"/>
          <w:szCs w:val="32"/>
          <w:shd w:val="clear" w:fill="FFFFFF"/>
          <w:lang w:val="en-US" w:eastAsia="zh-CN" w:bidi="ar"/>
        </w:rPr>
        <w:t>2021年度铅山县文广新旅局无收取信息处理费情况。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MjFlOTNhODM2YTA3MjE5YWYwYjkzYTVhODU3NmYifQ=="/>
  </w:docVars>
  <w:rsids>
    <w:rsidRoot w:val="46E93719"/>
    <w:rsid w:val="011E2D71"/>
    <w:rsid w:val="090358EB"/>
    <w:rsid w:val="1E0E714D"/>
    <w:rsid w:val="2C2A71F7"/>
    <w:rsid w:val="318408BE"/>
    <w:rsid w:val="3E0E583D"/>
    <w:rsid w:val="46E93719"/>
    <w:rsid w:val="4B927A52"/>
    <w:rsid w:val="540116D8"/>
    <w:rsid w:val="5F5B0355"/>
    <w:rsid w:val="78B317D4"/>
    <w:rsid w:val="78BA6FEB"/>
    <w:rsid w:val="7E33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2755</Words>
  <Characters>2834</Characters>
  <Lines>0</Lines>
  <Paragraphs>0</Paragraphs>
  <TotalTime>67</TotalTime>
  <ScaleCrop>false</ScaleCrop>
  <LinksUpToDate>false</LinksUpToDate>
  <CharactersWithSpaces>2834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2022-01-20T01:35:00Z</dcterms:created>
  <dc:creator>Administrator</dc:creator>
  <cp:lastModifiedBy>Administrator</cp:lastModifiedBy>
  <dcterms:modified xsi:type="dcterms:W3CDTF">2022-12-30T02:23:54Z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27233BC725004F33BDF1527064A07CAE</vt:lpwstr>
  </property>
</Properties>
</file>