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89" w:tblpY="2643"/>
        <w:tblOverlap w:val="never"/>
        <w:tblW w:w="14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71"/>
        <w:gridCol w:w="1210"/>
        <w:gridCol w:w="1100"/>
        <w:gridCol w:w="1300"/>
        <w:gridCol w:w="1750"/>
        <w:gridCol w:w="1150"/>
        <w:gridCol w:w="2863"/>
        <w:gridCol w:w="1472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补助资金一级项目名称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二级项目名称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业务主管部门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发放对象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发放标准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发放时间要求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相关政策文件（附文号）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县直主管部门归口业务股室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联系人和联系方式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2022年度农村危房改造补助资金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农村危房改造补助资金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住建局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六类农村低收入群体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维修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10000元/户；新建重建20000-22000元/户。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每年</w:t>
            </w: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12月前</w:t>
            </w:r>
          </w:p>
        </w:tc>
        <w:tc>
          <w:tcPr>
            <w:tcW w:w="286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  <w:t>关于下达2021年农村危房改造补助资金的通知（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  <w:t>赣财社指〔2021〕14号）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县住建局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危改办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  <w:t>杨霖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13807935230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中央和省级层面惠民惠农财政补贴资金项目和政策清单</w:t>
      </w:r>
    </w:p>
    <w:p>
      <w:pPr>
        <w:jc w:val="center"/>
        <w:rPr>
          <w:rFonts w:hint="eastAsia"/>
          <w:sz w:val="28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451FF"/>
    <w:rsid w:val="5D282FB3"/>
    <w:rsid w:val="7D55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225</Characters>
  <Lines>0</Lines>
  <Paragraphs>0</Paragraphs>
  <TotalTime>2</TotalTime>
  <ScaleCrop>false</ScaleCrop>
  <LinksUpToDate>false</LinksUpToDate>
  <CharactersWithSpaces>225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2022-04-20T02:40:04Z</dcterms:created>
  <dc:creator>Administrator</dc:creator>
  <cp:lastModifiedBy>Administrator</cp:lastModifiedBy>
  <dcterms:modified xsi:type="dcterms:W3CDTF">2022-04-20T03:26:18Z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E2D0C71806A445BE93FE75DFADF6A8C8</vt:lpwstr>
  </property>
</Properties>
</file>